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6EED" w14:textId="11BDAFA7" w:rsidR="008B3422" w:rsidRPr="00A37629" w:rsidRDefault="008B3422" w:rsidP="00DA7A46">
      <w:pPr>
        <w:pStyle w:val="NoSpacing"/>
        <w:spacing w:line="360" w:lineRule="auto"/>
        <w:jc w:val="center"/>
        <w:rPr>
          <w:rFonts w:ascii="Arial" w:hAnsi="Arial" w:cs="Arial"/>
          <w:lang w:val="mn-MN"/>
        </w:rPr>
      </w:pPr>
      <w:r w:rsidRPr="00A37629">
        <w:rPr>
          <w:rFonts w:ascii="Arial" w:hAnsi="Arial" w:cs="Arial"/>
          <w:lang w:val="mn-MN"/>
        </w:rPr>
        <w:t>ЭРҮҮГИЙН ЭРХ ЗҮЙН БОДЛОГЫН ӨГӨГДӨЛ</w:t>
      </w:r>
    </w:p>
    <w:p w14:paraId="35D4D208" w14:textId="5DC3112C" w:rsidR="001C2FA4" w:rsidRPr="00A37629" w:rsidRDefault="008B3422" w:rsidP="00952031">
      <w:pPr>
        <w:pStyle w:val="NoSpacing"/>
        <w:spacing w:line="360" w:lineRule="auto"/>
        <w:jc w:val="center"/>
        <w:rPr>
          <w:rFonts w:ascii="Arial" w:hAnsi="Arial" w:cs="Arial"/>
          <w:lang w:val="mn-MN"/>
        </w:rPr>
      </w:pPr>
      <w:r w:rsidRPr="00A37629">
        <w:rPr>
          <w:rFonts w:ascii="Arial" w:hAnsi="Arial" w:cs="Arial"/>
          <w:lang w:val="mn-MN"/>
        </w:rPr>
        <w:t>/Хуульчийн мэргэжлийн шалгалтад оролцогч нарт зориулав/</w:t>
      </w:r>
    </w:p>
    <w:p w14:paraId="1F769B74" w14:textId="77777777" w:rsidR="00952031" w:rsidRPr="00A37629" w:rsidRDefault="00952031" w:rsidP="00952031">
      <w:pPr>
        <w:pStyle w:val="NoSpacing"/>
        <w:spacing w:line="360" w:lineRule="auto"/>
        <w:jc w:val="center"/>
        <w:rPr>
          <w:rFonts w:ascii="Arial" w:hAnsi="Arial" w:cs="Arial"/>
          <w:lang w:val="mn-MN"/>
        </w:rPr>
      </w:pPr>
    </w:p>
    <w:p w14:paraId="1BEF577A" w14:textId="3D5944A6" w:rsidR="008B3422" w:rsidRPr="00A37629" w:rsidRDefault="008B3422" w:rsidP="00DA7A46">
      <w:pPr>
        <w:pStyle w:val="NoSpacing"/>
        <w:spacing w:line="360" w:lineRule="auto"/>
        <w:ind w:firstLine="720"/>
        <w:jc w:val="both"/>
        <w:rPr>
          <w:rFonts w:ascii="Arial" w:hAnsi="Arial" w:cs="Arial"/>
          <w:lang w:val="mn-MN"/>
        </w:rPr>
      </w:pPr>
      <w:r w:rsidRPr="00A37629">
        <w:rPr>
          <w:rFonts w:ascii="Arial" w:hAnsi="Arial" w:cs="Arial"/>
          <w:lang w:val="mn-MN"/>
        </w:rPr>
        <w:t>Дөл яллагдагчаар татагдав. 2023 оны 12 дугаар сарын 06-ны өдөр Дөл согтуурсан үедээ таагүй харилцааны улмаас Анарт хүч хэрэглэж, дахин хүч хэрэглэхээр заналхийлэхэд Анар шууд зугтааж, гэртээ ормогц араас нь хөөн гүйцэж ирсэн Дөлийг гэрт нь орох гэхэд Анарын 70 настай өвөө Осор “ач хүүд нь хүчээр халдах гэсэн үйлдлийг нь таслан зогсоох, гэртээ оруулахгүй байх зорилгоор” гэрийнхээ хаалганы дотор талын бариулаас татан чангааж байхад нь Дөл хаалгыг удаа дараа хүчтэй татсанаас Осор цементэн довжоон дээр унажээ.</w:t>
      </w:r>
      <w:r w:rsidR="005F6004" w:rsidRPr="00A37629">
        <w:rPr>
          <w:rFonts w:ascii="Arial" w:hAnsi="Arial" w:cs="Arial"/>
          <w:lang w:val="mn-MN"/>
        </w:rPr>
        <w:t xml:space="preserve"> </w:t>
      </w:r>
      <w:r w:rsidRPr="00A37629">
        <w:rPr>
          <w:rFonts w:ascii="Arial" w:hAnsi="Arial" w:cs="Arial"/>
          <w:lang w:val="mn-MN"/>
        </w:rPr>
        <w:t xml:space="preserve">Үүний улмаас Осорын зүрх чихэгдэн, зүүн ховдлоос дээш гарах хэсэг урагдан, үнхэлцгийн хөндийд цочмог цус алдсан зэрэг хүнд гэмтлийн шалтгаантайгаар зүрх, судасны дутагдлаар нас барсан нь тус тус тогтоогдсон байна. Амь хохирогчийн төрсөн дүү бөгөөд хууль ёсны төлөөлөгч болох гадаад улсад амьдарч байгаад ирсэн Дамба “талийгаачийн 21 ба 49 хоног хураах зан үйл болон буяны хандив өргөх зардалд нийт 12 сая төгрөг, өөрийн сэтгэл санаанд учирсан үр дагаврыг эмчлүүлэх зардлыг урьдчилан гаргуулах, сэтгэцэд учирсан хор уршгийг тооцон олгох” тухай нэхэмжлэл гаргасан, Дөл гэм буруугаа зөвшөөрөөгүй байх ба хэрэг үйлдэгдэх үед 17 нас 11 сартай байв. Мөрдөн байцаалтын явцад:  </w:t>
      </w:r>
      <w:r w:rsidR="005F6004" w:rsidRPr="00A37629">
        <w:rPr>
          <w:rFonts w:ascii="Arial" w:hAnsi="Arial" w:cs="Arial"/>
          <w:lang w:val="mn-MN"/>
        </w:rPr>
        <w:t xml:space="preserve"> </w:t>
      </w:r>
    </w:p>
    <w:p w14:paraId="7A6F72A0" w14:textId="77777777" w:rsidR="003E287C" w:rsidRPr="00A37629" w:rsidRDefault="008B3422" w:rsidP="003E287C">
      <w:pPr>
        <w:pStyle w:val="NoSpacing"/>
        <w:spacing w:line="360" w:lineRule="auto"/>
        <w:ind w:firstLine="720"/>
        <w:jc w:val="both"/>
        <w:rPr>
          <w:rFonts w:ascii="Arial" w:hAnsi="Arial" w:cs="Arial"/>
          <w:lang w:val="mn-MN"/>
        </w:rPr>
      </w:pPr>
      <w:r w:rsidRPr="00A37629">
        <w:rPr>
          <w:rFonts w:ascii="Arial" w:hAnsi="Arial" w:cs="Arial"/>
          <w:lang w:val="mn-MN"/>
        </w:rPr>
        <w:t>Дөл нь ах Цогийн хамт 2024 оны 2 дугаар сарын 28-ны өдрийн 21 цагийн орчимд Т аймгийн Б сумын “Шивээт” гэх газарт байх нийтийн эзэмшлийн худаг дээрх иргэн Борын өмч болох “мал услах зориулалттай төмөр онгоц”-ыг түүнд мэдэгдэлгүй өөрийн эзэмшлийн ачааны автомашинаар тээвэрлэж, “Шанд” гэх газарт байх худаг дээр авчирч тавьжээ.</w:t>
      </w:r>
      <w:r w:rsidR="00EF251D" w:rsidRPr="00A37629">
        <w:rPr>
          <w:rFonts w:ascii="Arial" w:hAnsi="Arial" w:cs="Arial"/>
          <w:lang w:val="mn-MN"/>
        </w:rPr>
        <w:t xml:space="preserve"> </w:t>
      </w:r>
      <w:r w:rsidRPr="00A37629">
        <w:rPr>
          <w:rFonts w:ascii="Arial" w:hAnsi="Arial" w:cs="Arial"/>
          <w:lang w:val="mn-MN"/>
        </w:rPr>
        <w:t>Бор өөр нутаг руу нүүхдээ орхисон “худгийн онгоц”-оо хулгайд алдсан гэх</w:t>
      </w:r>
      <w:r w:rsidR="00EF251D" w:rsidRPr="00A37629">
        <w:rPr>
          <w:rFonts w:ascii="Arial" w:hAnsi="Arial" w:cs="Arial"/>
          <w:lang w:val="mn-MN"/>
        </w:rPr>
        <w:t xml:space="preserve"> </w:t>
      </w:r>
      <w:r w:rsidRPr="00A37629">
        <w:rPr>
          <w:rFonts w:ascii="Arial" w:hAnsi="Arial" w:cs="Arial"/>
          <w:lang w:val="mn-MN"/>
        </w:rPr>
        <w:t>гомдол, мэдүүлэг өгсөн, тус онгоцны үнэлгээ</w:t>
      </w:r>
      <w:r w:rsidR="00EF251D" w:rsidRPr="00A37629">
        <w:rPr>
          <w:rFonts w:ascii="Arial" w:hAnsi="Arial" w:cs="Arial"/>
          <w:lang w:val="mn-MN"/>
        </w:rPr>
        <w:t xml:space="preserve"> </w:t>
      </w:r>
      <w:r w:rsidRPr="00A37629">
        <w:rPr>
          <w:rFonts w:ascii="Arial" w:hAnsi="Arial" w:cs="Arial"/>
          <w:lang w:val="mn-MN"/>
        </w:rPr>
        <w:t>300.000 төгрөг,</w:t>
      </w:r>
      <w:r w:rsidR="00EF251D" w:rsidRPr="00A37629">
        <w:rPr>
          <w:rFonts w:ascii="Arial" w:hAnsi="Arial" w:cs="Arial"/>
          <w:lang w:val="mn-MN"/>
        </w:rPr>
        <w:t xml:space="preserve"> </w:t>
      </w:r>
      <w:r w:rsidRPr="00A37629">
        <w:rPr>
          <w:rFonts w:ascii="Arial" w:hAnsi="Arial" w:cs="Arial"/>
          <w:lang w:val="mn-MN"/>
        </w:rPr>
        <w:t>Дөл, Цог нар “Шандын худаг дээрх мал услах зориулалт бүхий өөрсдийн цементэн онгоц хагарсан, дахин хийлгэх, засварлах бололцоо байгаагүй тул</w:t>
      </w:r>
      <w:r w:rsidR="00EF251D" w:rsidRPr="00A37629">
        <w:rPr>
          <w:rFonts w:ascii="Arial" w:hAnsi="Arial" w:cs="Arial"/>
          <w:lang w:val="mn-MN"/>
        </w:rPr>
        <w:t xml:space="preserve"> </w:t>
      </w:r>
      <w:r w:rsidRPr="00A37629">
        <w:rPr>
          <w:rFonts w:ascii="Arial" w:hAnsi="Arial" w:cs="Arial"/>
          <w:lang w:val="mn-MN"/>
        </w:rPr>
        <w:t>өөрсдийн малаа услахаар худгийн онгоц хайж явахдаа танил Борынх нутаг сэлгэн нүүхдээ худгийн онгоцоо орхисныг</w:t>
      </w:r>
      <w:r w:rsidR="00EF251D" w:rsidRPr="00A37629">
        <w:rPr>
          <w:rFonts w:ascii="Arial" w:hAnsi="Arial" w:cs="Arial"/>
          <w:lang w:val="mn-MN"/>
        </w:rPr>
        <w:t xml:space="preserve"> </w:t>
      </w:r>
      <w:r w:rsidRPr="00A37629">
        <w:rPr>
          <w:rFonts w:ascii="Arial" w:hAnsi="Arial" w:cs="Arial"/>
          <w:lang w:val="mn-MN"/>
        </w:rPr>
        <w:t>гэнэт санаж, түүнд хэлэхгүйгээр авчихсан, түр хэрэглэж байгаад буцаагаад өгчихнө гэж бодож байсан” тухай зөрүүгүй мэдүүлсэн зэрэг нотлох баримтууд</w:t>
      </w:r>
      <w:r w:rsidR="00EF251D" w:rsidRPr="00A37629">
        <w:rPr>
          <w:rFonts w:ascii="Arial" w:hAnsi="Arial" w:cs="Arial"/>
          <w:lang w:val="mn-MN"/>
        </w:rPr>
        <w:t xml:space="preserve"> </w:t>
      </w:r>
      <w:r w:rsidRPr="00A37629">
        <w:rPr>
          <w:rFonts w:ascii="Arial" w:hAnsi="Arial" w:cs="Arial"/>
          <w:lang w:val="mn-MN"/>
        </w:rPr>
        <w:t>цугларч,</w:t>
      </w:r>
      <w:r w:rsidR="00EF251D" w:rsidRPr="00A37629">
        <w:rPr>
          <w:rFonts w:ascii="Arial" w:hAnsi="Arial" w:cs="Arial"/>
          <w:lang w:val="mn-MN"/>
        </w:rPr>
        <w:t xml:space="preserve"> </w:t>
      </w:r>
      <w:r w:rsidRPr="00A37629">
        <w:rPr>
          <w:rFonts w:ascii="Arial" w:hAnsi="Arial" w:cs="Arial"/>
          <w:lang w:val="mn-MN"/>
        </w:rPr>
        <w:t>бэхжигдсэн</w:t>
      </w:r>
      <w:r w:rsidR="00EF251D" w:rsidRPr="00A37629">
        <w:rPr>
          <w:rFonts w:ascii="Arial" w:hAnsi="Arial" w:cs="Arial"/>
          <w:lang w:val="mn-MN"/>
        </w:rPr>
        <w:t xml:space="preserve"> </w:t>
      </w:r>
      <w:r w:rsidRPr="00A37629">
        <w:rPr>
          <w:rFonts w:ascii="Arial" w:hAnsi="Arial" w:cs="Arial"/>
          <w:lang w:val="mn-MN"/>
        </w:rPr>
        <w:t>байна.</w:t>
      </w:r>
      <w:bookmarkStart w:id="0" w:name="_Hlk211954855"/>
      <w:r w:rsidR="003E287C" w:rsidRPr="00A37629">
        <w:rPr>
          <w:rFonts w:ascii="Arial" w:hAnsi="Arial" w:cs="Arial"/>
          <w:lang w:val="mn-MN"/>
        </w:rPr>
        <w:t xml:space="preserve"> </w:t>
      </w:r>
    </w:p>
    <w:p w14:paraId="27E484A9" w14:textId="3308614F" w:rsidR="004472FB" w:rsidRPr="00A37629" w:rsidRDefault="008B3422" w:rsidP="003E287C">
      <w:pPr>
        <w:pStyle w:val="NoSpacing"/>
        <w:spacing w:line="360" w:lineRule="auto"/>
        <w:ind w:firstLine="720"/>
        <w:jc w:val="both"/>
        <w:rPr>
          <w:rFonts w:ascii="Arial" w:hAnsi="Arial" w:cs="Arial"/>
          <w:lang w:val="mn-MN"/>
        </w:rPr>
      </w:pPr>
      <w:bookmarkStart w:id="1" w:name="_Hlk211956466"/>
      <w:r w:rsidRPr="00A37629">
        <w:rPr>
          <w:rFonts w:ascii="Arial" w:hAnsi="Arial" w:cs="Arial"/>
          <w:lang w:val="mn-MN"/>
        </w:rPr>
        <w:t>Өмгөөлөгч Од: Осорын</w:t>
      </w:r>
      <w:r w:rsidR="003E287C" w:rsidRPr="00A37629">
        <w:rPr>
          <w:rFonts w:ascii="Arial" w:hAnsi="Arial" w:cs="Arial"/>
          <w:lang w:val="mn-MN"/>
        </w:rPr>
        <w:t xml:space="preserve"> </w:t>
      </w:r>
      <w:r w:rsidRPr="00A37629">
        <w:rPr>
          <w:rFonts w:ascii="Arial" w:hAnsi="Arial" w:cs="Arial"/>
          <w:lang w:val="mn-MN"/>
        </w:rPr>
        <w:t>нас барсан шалтгааны</w:t>
      </w:r>
      <w:r w:rsidR="003E287C" w:rsidRPr="00A37629">
        <w:rPr>
          <w:rFonts w:ascii="Arial" w:hAnsi="Arial" w:cs="Arial"/>
          <w:lang w:val="mn-MN"/>
        </w:rPr>
        <w:t xml:space="preserve"> </w:t>
      </w:r>
      <w:r w:rsidRPr="00A37629">
        <w:rPr>
          <w:rFonts w:ascii="Arial" w:hAnsi="Arial" w:cs="Arial"/>
          <w:lang w:val="mn-MN"/>
        </w:rPr>
        <w:t>талаарх</w:t>
      </w:r>
      <w:r w:rsidR="003E287C" w:rsidRPr="00A37629">
        <w:rPr>
          <w:rFonts w:ascii="Arial" w:hAnsi="Arial" w:cs="Arial"/>
          <w:lang w:val="mn-MN"/>
        </w:rPr>
        <w:t xml:space="preserve"> </w:t>
      </w:r>
      <w:r w:rsidRPr="00A37629">
        <w:rPr>
          <w:rFonts w:ascii="Arial" w:hAnsi="Arial" w:cs="Arial"/>
          <w:lang w:val="mn-MN"/>
        </w:rPr>
        <w:t>шинжээчийн</w:t>
      </w:r>
      <w:r w:rsidR="003E287C" w:rsidRPr="00A37629">
        <w:rPr>
          <w:rFonts w:ascii="Arial" w:hAnsi="Arial" w:cs="Arial"/>
          <w:lang w:val="mn-MN"/>
        </w:rPr>
        <w:t xml:space="preserve"> дүгнэлт бүрэн  бус, шинжилгээ</w:t>
      </w:r>
      <w:r w:rsidR="002F1A63" w:rsidRPr="00A37629">
        <w:rPr>
          <w:rFonts w:ascii="Arial" w:hAnsi="Arial" w:cs="Arial"/>
          <w:lang w:val="mn-MN"/>
        </w:rPr>
        <w:t xml:space="preserve"> </w:t>
      </w:r>
      <w:r w:rsidR="003E287C" w:rsidRPr="00A37629">
        <w:rPr>
          <w:rFonts w:ascii="Arial" w:hAnsi="Arial" w:cs="Arial"/>
          <w:lang w:val="mn-MN"/>
        </w:rPr>
        <w:t>хийлгэж байгаа асуудалтай</w:t>
      </w:r>
      <w:r w:rsidR="002F1A63" w:rsidRPr="00A37629">
        <w:rPr>
          <w:rFonts w:ascii="Arial" w:hAnsi="Arial" w:cs="Arial"/>
          <w:lang w:val="mn-MN"/>
        </w:rPr>
        <w:t xml:space="preserve"> </w:t>
      </w:r>
      <w:r w:rsidR="003E287C" w:rsidRPr="00A37629">
        <w:rPr>
          <w:rFonts w:ascii="Arial" w:hAnsi="Arial" w:cs="Arial"/>
          <w:lang w:val="mn-MN"/>
        </w:rPr>
        <w:t>холбоотой шинэ нөхцөл байдал</w:t>
      </w:r>
      <w:r w:rsidR="002F1A63" w:rsidRPr="00A37629">
        <w:rPr>
          <w:rFonts w:ascii="Arial" w:hAnsi="Arial" w:cs="Arial"/>
          <w:lang w:val="mn-MN"/>
        </w:rPr>
        <w:t xml:space="preserve"> </w:t>
      </w:r>
      <w:r w:rsidR="003E287C" w:rsidRPr="00A37629">
        <w:rPr>
          <w:rFonts w:ascii="Arial" w:hAnsi="Arial" w:cs="Arial"/>
          <w:lang w:val="mn-MN"/>
        </w:rPr>
        <w:t>бий</w:t>
      </w:r>
      <w:r w:rsidR="002F1A63" w:rsidRPr="00A37629">
        <w:rPr>
          <w:rFonts w:ascii="Arial" w:hAnsi="Arial" w:cs="Arial"/>
          <w:lang w:val="mn-MN"/>
        </w:rPr>
        <w:t xml:space="preserve"> </w:t>
      </w:r>
      <w:r w:rsidR="003E287C" w:rsidRPr="00A37629">
        <w:rPr>
          <w:rFonts w:ascii="Arial" w:hAnsi="Arial" w:cs="Arial"/>
          <w:lang w:val="mn-MN"/>
        </w:rPr>
        <w:t>бол</w:t>
      </w:r>
      <w:r w:rsidR="002F1A63" w:rsidRPr="00A37629">
        <w:rPr>
          <w:rFonts w:ascii="Arial" w:hAnsi="Arial" w:cs="Arial"/>
          <w:lang w:val="mn-MN"/>
        </w:rPr>
        <w:t xml:space="preserve">сон </w:t>
      </w:r>
      <w:r w:rsidRPr="00A37629">
        <w:rPr>
          <w:rFonts w:ascii="Arial" w:hAnsi="Arial" w:cs="Arial"/>
          <w:lang w:val="mn-MN"/>
        </w:rPr>
        <w:t>тул</w:t>
      </w:r>
      <w:r w:rsidR="003E287C" w:rsidRPr="00A37629">
        <w:rPr>
          <w:rFonts w:ascii="Arial" w:hAnsi="Arial" w:cs="Arial"/>
          <w:lang w:val="mn-MN"/>
        </w:rPr>
        <w:t xml:space="preserve"> </w:t>
      </w:r>
      <w:r w:rsidRPr="00A37629">
        <w:rPr>
          <w:rFonts w:ascii="Arial" w:hAnsi="Arial" w:cs="Arial"/>
          <w:lang w:val="mn-MN"/>
        </w:rPr>
        <w:t>дахин</w:t>
      </w:r>
      <w:r w:rsidR="00116BAC" w:rsidRPr="00A37629">
        <w:rPr>
          <w:rFonts w:ascii="Arial" w:hAnsi="Arial" w:cs="Arial"/>
          <w:lang w:val="mn-MN"/>
        </w:rPr>
        <w:t xml:space="preserve"> шинжилгээ</w:t>
      </w:r>
      <w:r w:rsidR="00151EF0" w:rsidRPr="00A37629">
        <w:rPr>
          <w:rFonts w:ascii="Arial" w:hAnsi="Arial" w:cs="Arial"/>
          <w:lang w:val="mn-MN"/>
        </w:rPr>
        <w:t xml:space="preserve"> болон </w:t>
      </w:r>
      <w:r w:rsidR="004472FB" w:rsidRPr="00A37629">
        <w:rPr>
          <w:rFonts w:ascii="Arial" w:hAnsi="Arial" w:cs="Arial"/>
          <w:lang w:val="mn-MN"/>
        </w:rPr>
        <w:t xml:space="preserve">нэмэлт </w:t>
      </w:r>
      <w:r w:rsidR="00DA73F5" w:rsidRPr="00A37629">
        <w:rPr>
          <w:rFonts w:ascii="Arial" w:hAnsi="Arial" w:cs="Arial"/>
          <w:lang w:val="mn-MN"/>
        </w:rPr>
        <w:t xml:space="preserve">мөрдөн шалгах </w:t>
      </w:r>
      <w:r w:rsidR="004472FB" w:rsidRPr="00A37629">
        <w:rPr>
          <w:rFonts w:ascii="Arial" w:hAnsi="Arial" w:cs="Arial"/>
          <w:lang w:val="mn-MN"/>
        </w:rPr>
        <w:t>ажиллагаа</w:t>
      </w:r>
      <w:r w:rsidR="00DA73F5" w:rsidRPr="00A37629">
        <w:rPr>
          <w:rFonts w:ascii="Arial" w:hAnsi="Arial" w:cs="Arial"/>
          <w:lang w:val="mn-MN"/>
        </w:rPr>
        <w:t xml:space="preserve"> </w:t>
      </w:r>
      <w:r w:rsidR="004472FB" w:rsidRPr="00A37629">
        <w:rPr>
          <w:rFonts w:ascii="Arial" w:hAnsi="Arial" w:cs="Arial"/>
          <w:lang w:val="mn-MN"/>
        </w:rPr>
        <w:t xml:space="preserve">хийлгүүлэхээр </w:t>
      </w:r>
      <w:r w:rsidRPr="00A37629">
        <w:rPr>
          <w:rFonts w:ascii="Arial" w:hAnsi="Arial" w:cs="Arial"/>
          <w:lang w:val="mn-MN"/>
        </w:rPr>
        <w:t>шүүгдэгч Дөлд</w:t>
      </w:r>
      <w:r w:rsidR="00A67E14" w:rsidRPr="00A37629">
        <w:rPr>
          <w:rFonts w:ascii="Arial" w:hAnsi="Arial" w:cs="Arial"/>
          <w:lang w:val="mn-MN"/>
        </w:rPr>
        <w:t xml:space="preserve"> </w:t>
      </w:r>
      <w:r w:rsidRPr="00A37629">
        <w:rPr>
          <w:rFonts w:ascii="Arial" w:hAnsi="Arial" w:cs="Arial"/>
          <w:lang w:val="mn-MN"/>
        </w:rPr>
        <w:t>холбогдох хэргийг</w:t>
      </w:r>
      <w:r w:rsidR="005C6DED" w:rsidRPr="00A37629">
        <w:rPr>
          <w:rFonts w:ascii="Arial" w:hAnsi="Arial" w:cs="Arial"/>
          <w:lang w:val="mn-MN"/>
        </w:rPr>
        <w:t xml:space="preserve"> </w:t>
      </w:r>
      <w:r w:rsidRPr="00A37629">
        <w:rPr>
          <w:rFonts w:ascii="Arial" w:hAnsi="Arial" w:cs="Arial"/>
          <w:lang w:val="mn-MN"/>
        </w:rPr>
        <w:t>прокурорт</w:t>
      </w:r>
      <w:r w:rsidR="00A67E14" w:rsidRPr="00A37629">
        <w:rPr>
          <w:rFonts w:ascii="Arial" w:hAnsi="Arial" w:cs="Arial"/>
          <w:lang w:val="mn-MN"/>
        </w:rPr>
        <w:t xml:space="preserve"> </w:t>
      </w:r>
      <w:r w:rsidRPr="00A37629">
        <w:rPr>
          <w:rFonts w:ascii="Arial" w:hAnsi="Arial" w:cs="Arial"/>
          <w:lang w:val="mn-MN"/>
        </w:rPr>
        <w:t>буцаалгах тухай</w:t>
      </w:r>
      <w:r w:rsidR="005C6DED" w:rsidRPr="00A37629">
        <w:rPr>
          <w:rFonts w:ascii="Arial" w:hAnsi="Arial" w:cs="Arial"/>
          <w:lang w:val="mn-MN"/>
        </w:rPr>
        <w:t xml:space="preserve"> </w:t>
      </w:r>
      <w:r w:rsidR="004472FB" w:rsidRPr="00A37629">
        <w:rPr>
          <w:rFonts w:ascii="Arial" w:hAnsi="Arial" w:cs="Arial"/>
          <w:lang w:val="mn-MN"/>
        </w:rPr>
        <w:t>гомдлыг</w:t>
      </w:r>
      <w:r w:rsidR="00A67E14" w:rsidRPr="00A37629">
        <w:rPr>
          <w:rFonts w:ascii="Arial" w:hAnsi="Arial" w:cs="Arial"/>
          <w:lang w:val="mn-MN"/>
        </w:rPr>
        <w:t xml:space="preserve"> </w:t>
      </w:r>
      <w:r w:rsidRPr="00A37629">
        <w:rPr>
          <w:rFonts w:ascii="Arial" w:hAnsi="Arial" w:cs="Arial"/>
          <w:lang w:val="mn-MN"/>
        </w:rPr>
        <w:t>шүүх</w:t>
      </w:r>
      <w:r w:rsidR="00F24760" w:rsidRPr="00A37629">
        <w:rPr>
          <w:rFonts w:ascii="Arial" w:hAnsi="Arial" w:cs="Arial"/>
          <w:lang w:val="mn-MN"/>
        </w:rPr>
        <w:t xml:space="preserve"> хуралдаанд </w:t>
      </w:r>
      <w:r w:rsidRPr="00A37629">
        <w:rPr>
          <w:rFonts w:ascii="Arial" w:hAnsi="Arial" w:cs="Arial"/>
          <w:lang w:val="mn-MN"/>
        </w:rPr>
        <w:t>гаргажээ</w:t>
      </w:r>
      <w:r w:rsidR="00F24760" w:rsidRPr="00A37629">
        <w:rPr>
          <w:rFonts w:ascii="Arial" w:hAnsi="Arial" w:cs="Arial"/>
          <w:lang w:val="mn-MN"/>
        </w:rPr>
        <w:t>.</w:t>
      </w:r>
      <w:bookmarkEnd w:id="0"/>
      <w:bookmarkEnd w:id="1"/>
      <w:r w:rsidR="00F24760" w:rsidRPr="00A37629">
        <w:rPr>
          <w:rFonts w:ascii="Arial" w:hAnsi="Arial" w:cs="Arial"/>
          <w:lang w:val="mn-MN"/>
        </w:rPr>
        <w:t xml:space="preserve">  </w:t>
      </w:r>
      <w:r w:rsidR="00EF251D" w:rsidRPr="00A37629">
        <w:rPr>
          <w:rFonts w:ascii="Arial" w:hAnsi="Arial" w:cs="Arial"/>
          <w:lang w:val="mn-MN"/>
        </w:rPr>
        <w:t xml:space="preserve">  </w:t>
      </w:r>
      <w:r w:rsidR="004472FB" w:rsidRPr="00A37629">
        <w:rPr>
          <w:rFonts w:ascii="Arial" w:hAnsi="Arial" w:cs="Arial"/>
          <w:lang w:val="mn-MN"/>
        </w:rPr>
        <w:t xml:space="preserve"> </w:t>
      </w:r>
      <w:r w:rsidR="00DA73F5" w:rsidRPr="00A37629">
        <w:rPr>
          <w:rFonts w:ascii="Arial" w:hAnsi="Arial" w:cs="Arial"/>
          <w:lang w:val="mn-MN"/>
        </w:rPr>
        <w:t xml:space="preserve"> </w:t>
      </w:r>
      <w:r w:rsidR="003E287C" w:rsidRPr="00A37629">
        <w:rPr>
          <w:rFonts w:ascii="Arial" w:hAnsi="Arial" w:cs="Arial"/>
          <w:lang w:val="mn-MN"/>
        </w:rPr>
        <w:t xml:space="preserve"> </w:t>
      </w:r>
      <w:r w:rsidR="00116BAC" w:rsidRPr="00A37629">
        <w:rPr>
          <w:rFonts w:ascii="Arial" w:hAnsi="Arial" w:cs="Arial"/>
          <w:lang w:val="mn-MN"/>
        </w:rPr>
        <w:t xml:space="preserve"> </w:t>
      </w:r>
      <w:r w:rsidR="002F1A63" w:rsidRPr="00A37629">
        <w:rPr>
          <w:rFonts w:ascii="Arial" w:hAnsi="Arial" w:cs="Arial"/>
          <w:lang w:val="mn-MN"/>
        </w:rPr>
        <w:t xml:space="preserve"> </w:t>
      </w:r>
      <w:r w:rsidR="005E0D01" w:rsidRPr="00A37629">
        <w:rPr>
          <w:rFonts w:ascii="Arial" w:hAnsi="Arial" w:cs="Arial"/>
          <w:lang w:val="mn-MN"/>
        </w:rPr>
        <w:t xml:space="preserve"> </w:t>
      </w:r>
      <w:r w:rsidR="00A67E14" w:rsidRPr="00A37629">
        <w:rPr>
          <w:rFonts w:ascii="Arial" w:hAnsi="Arial" w:cs="Arial"/>
          <w:lang w:val="mn-MN"/>
        </w:rPr>
        <w:t xml:space="preserve"> </w:t>
      </w:r>
    </w:p>
    <w:p w14:paraId="490E9CB1" w14:textId="0E1FE57C" w:rsidR="00944395" w:rsidRPr="00A37629" w:rsidRDefault="008B3422" w:rsidP="004472FB">
      <w:pPr>
        <w:pStyle w:val="NoSpacing"/>
        <w:spacing w:line="360" w:lineRule="auto"/>
        <w:ind w:firstLine="720"/>
        <w:jc w:val="both"/>
        <w:rPr>
          <w:rFonts w:ascii="Arial" w:hAnsi="Arial" w:cs="Arial"/>
          <w:lang w:val="mn-MN"/>
        </w:rPr>
      </w:pPr>
      <w:r w:rsidRPr="00A37629">
        <w:rPr>
          <w:rFonts w:ascii="Arial" w:hAnsi="Arial" w:cs="Arial"/>
          <w:lang w:val="mn-MN"/>
        </w:rPr>
        <w:t>Шийдвэрлэх асуудал: Бодлогын нөхцөлийн хүрээнд шийдвэрлэвэл зохих бүхий л асуудалд хууль зүйн дүгнэлт хийнэ үү.</w:t>
      </w:r>
      <w:r w:rsidR="00DA7A46" w:rsidRPr="00A37629">
        <w:rPr>
          <w:rFonts w:ascii="Arial" w:hAnsi="Arial" w:cs="Arial"/>
          <w:lang w:val="mn-MN"/>
        </w:rPr>
        <w:t xml:space="preserve"> </w:t>
      </w:r>
      <w:r w:rsidR="00F24760" w:rsidRPr="00A37629">
        <w:rPr>
          <w:rFonts w:ascii="Arial" w:hAnsi="Arial" w:cs="Arial"/>
          <w:lang w:val="mn-MN"/>
        </w:rPr>
        <w:t xml:space="preserve"> </w:t>
      </w:r>
      <w:r w:rsidR="004472FB" w:rsidRPr="00A37629">
        <w:rPr>
          <w:rFonts w:ascii="Arial" w:hAnsi="Arial" w:cs="Arial"/>
          <w:lang w:val="mn-MN"/>
        </w:rPr>
        <w:t xml:space="preserve"> </w:t>
      </w:r>
      <w:r w:rsidR="00FA16E2" w:rsidRPr="00A37629">
        <w:rPr>
          <w:rFonts w:ascii="Arial" w:hAnsi="Arial" w:cs="Arial"/>
          <w:lang w:val="mn-MN"/>
        </w:rPr>
        <w:t xml:space="preserve"> </w:t>
      </w:r>
    </w:p>
    <w:p w14:paraId="2301513B" w14:textId="77777777" w:rsidR="00141588" w:rsidRDefault="00141588" w:rsidP="004472FB">
      <w:pPr>
        <w:pStyle w:val="NoSpacing"/>
        <w:spacing w:line="360" w:lineRule="auto"/>
        <w:ind w:firstLine="720"/>
        <w:jc w:val="both"/>
        <w:rPr>
          <w:rFonts w:ascii="Arial" w:hAnsi="Arial" w:cs="Arial"/>
          <w:lang w:val="mn-MN"/>
        </w:rPr>
      </w:pPr>
    </w:p>
    <w:p w14:paraId="34FDB855" w14:textId="77777777" w:rsidR="00A37629" w:rsidRDefault="00A37629" w:rsidP="004472FB">
      <w:pPr>
        <w:pStyle w:val="NoSpacing"/>
        <w:spacing w:line="360" w:lineRule="auto"/>
        <w:ind w:firstLine="720"/>
        <w:jc w:val="both"/>
        <w:rPr>
          <w:rFonts w:ascii="Arial" w:hAnsi="Arial" w:cs="Arial"/>
          <w:lang w:val="mn-MN"/>
        </w:rPr>
      </w:pPr>
    </w:p>
    <w:p w14:paraId="74AB502B" w14:textId="77777777" w:rsidR="00A37629" w:rsidRDefault="00A37629" w:rsidP="004472FB">
      <w:pPr>
        <w:pStyle w:val="NoSpacing"/>
        <w:spacing w:line="360" w:lineRule="auto"/>
        <w:ind w:firstLine="720"/>
        <w:jc w:val="both"/>
        <w:rPr>
          <w:rFonts w:ascii="Arial" w:hAnsi="Arial" w:cs="Arial"/>
          <w:lang w:val="mn-MN"/>
        </w:rPr>
      </w:pPr>
    </w:p>
    <w:p w14:paraId="1519357E" w14:textId="77777777" w:rsidR="00A37629" w:rsidRDefault="00A37629" w:rsidP="004472FB">
      <w:pPr>
        <w:pStyle w:val="NoSpacing"/>
        <w:spacing w:line="360" w:lineRule="auto"/>
        <w:ind w:firstLine="720"/>
        <w:jc w:val="both"/>
        <w:rPr>
          <w:rFonts w:ascii="Arial" w:hAnsi="Arial" w:cs="Arial"/>
          <w:lang w:val="mn-MN"/>
        </w:rPr>
      </w:pPr>
    </w:p>
    <w:p w14:paraId="6050C7A0" w14:textId="77777777" w:rsidR="00A37629" w:rsidRPr="00A37629" w:rsidRDefault="00A37629" w:rsidP="004472FB">
      <w:pPr>
        <w:pStyle w:val="NoSpacing"/>
        <w:spacing w:line="360" w:lineRule="auto"/>
        <w:ind w:firstLine="720"/>
        <w:jc w:val="both"/>
        <w:rPr>
          <w:rFonts w:ascii="Arial" w:hAnsi="Arial" w:cs="Arial"/>
          <w:lang w:val="mn-MN"/>
        </w:rPr>
      </w:pPr>
    </w:p>
    <w:p w14:paraId="09E40558" w14:textId="77777777" w:rsidR="00141588" w:rsidRPr="00A37629" w:rsidRDefault="00141588" w:rsidP="004472FB">
      <w:pPr>
        <w:pStyle w:val="NoSpacing"/>
        <w:spacing w:line="360" w:lineRule="auto"/>
        <w:ind w:firstLine="720"/>
        <w:jc w:val="both"/>
        <w:rPr>
          <w:rFonts w:ascii="Arial" w:hAnsi="Arial" w:cs="Arial"/>
          <w:lang w:val="mn-MN"/>
        </w:rPr>
      </w:pPr>
    </w:p>
    <w:p w14:paraId="18776337" w14:textId="77777777" w:rsidR="00141588" w:rsidRPr="00A37629" w:rsidRDefault="00141588" w:rsidP="00141588">
      <w:pPr>
        <w:pStyle w:val="NoSpacing"/>
        <w:spacing w:line="360" w:lineRule="auto"/>
        <w:jc w:val="center"/>
        <w:rPr>
          <w:rFonts w:ascii="Arial" w:hAnsi="Arial" w:cs="Arial"/>
          <w:lang w:val="mn-MN"/>
        </w:rPr>
      </w:pPr>
      <w:r w:rsidRPr="00A37629">
        <w:rPr>
          <w:rFonts w:ascii="Arial" w:hAnsi="Arial" w:cs="Arial"/>
          <w:lang w:val="mn-MN"/>
        </w:rPr>
        <w:lastRenderedPageBreak/>
        <w:t>Бодолт:</w:t>
      </w:r>
    </w:p>
    <w:p w14:paraId="3725E7B5" w14:textId="77777777" w:rsidR="00141588" w:rsidRPr="00A37629" w:rsidRDefault="00141588" w:rsidP="00141588">
      <w:pPr>
        <w:pStyle w:val="NoSpacing"/>
        <w:spacing w:line="360" w:lineRule="auto"/>
        <w:jc w:val="both"/>
        <w:rPr>
          <w:rFonts w:ascii="Arial" w:hAnsi="Arial" w:cs="Arial"/>
          <w:lang w:val="mn-MN"/>
        </w:rPr>
      </w:pPr>
    </w:p>
    <w:p w14:paraId="4436E378" w14:textId="77777777" w:rsidR="00141588" w:rsidRPr="00A37629" w:rsidRDefault="00141588" w:rsidP="00141588">
      <w:pPr>
        <w:pStyle w:val="NoSpacing"/>
        <w:spacing w:line="360" w:lineRule="auto"/>
        <w:ind w:firstLine="720"/>
        <w:jc w:val="both"/>
        <w:rPr>
          <w:rFonts w:ascii="Arial" w:hAnsi="Arial" w:cs="Arial"/>
          <w:b/>
          <w:bCs/>
          <w:lang w:val="mn-MN"/>
        </w:rPr>
      </w:pPr>
      <w:r w:rsidRPr="00A37629">
        <w:rPr>
          <w:rFonts w:ascii="Arial" w:hAnsi="Arial" w:cs="Arial"/>
          <w:b/>
          <w:bCs/>
          <w:lang w:val="mn-MN"/>
        </w:rPr>
        <w:t xml:space="preserve">1. Хууль зүйн дүгнэлт хийх хэм хэмжээг тодорхойлох </w:t>
      </w:r>
    </w:p>
    <w:p w14:paraId="08C14ED6"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Бодлогын нөхцөлөөс үзэхэд Дөл хүний амь насыг хохироосон, мөн Дөл, Цог нар хүний өмчлөх эрхэд халдсан байх тул Эрүүгийн хуулийн тусгай ангийн 10 болон 17 дугаар бүлгээс тохирох хэм хэмжээг сонгож байна. Тодруулбал,  </w:t>
      </w:r>
    </w:p>
    <w:p w14:paraId="7AFA0BD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1.1. Дөл нь өндөр настан Осорыг цементэн довжоон дээр унагааж, амь насыг нь  хохироосон үйлдэл Эрүүгийн хуулийн тусгай ангийн 10.1 дугаар зүйлд,  </w:t>
      </w:r>
    </w:p>
    <w:p w14:paraId="65A5BF87"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1.2. Дөл, Цог нар бүлэглэн бусдын өмчлөлийн “мал услах зориулалт бүхий” худгийн онгоцыг хүч хэрэглэхгүйгээр, нууцаар, хууль бусаар авсан үйлдлийг Эрүүгийн хуулийн тусгай ангийн 17.1 дүгээр зүйлд тус тус зохицуулсан гэж үзэхээр байна.      </w:t>
      </w:r>
    </w:p>
    <w:p w14:paraId="22B17855" w14:textId="77777777" w:rsidR="00141588" w:rsidRPr="00A37629" w:rsidRDefault="00141588" w:rsidP="00141588">
      <w:pPr>
        <w:pStyle w:val="NoSpacing"/>
        <w:spacing w:line="360" w:lineRule="auto"/>
        <w:ind w:firstLine="720"/>
        <w:jc w:val="both"/>
        <w:rPr>
          <w:rFonts w:ascii="Arial" w:hAnsi="Arial" w:cs="Arial"/>
          <w:b/>
          <w:bCs/>
          <w:lang w:val="mn-MN"/>
        </w:rPr>
      </w:pPr>
      <w:r w:rsidRPr="00A37629">
        <w:rPr>
          <w:rFonts w:ascii="Arial" w:hAnsi="Arial" w:cs="Arial"/>
          <w:b/>
          <w:bCs/>
          <w:lang w:val="mn-MN"/>
        </w:rPr>
        <w:t xml:space="preserve">2. Сонгож авсан хэм хэмжээ болон түүний хууль зүйн шинжийг тодорхойлж, бодлогын нөхцөлтэй субсумци хийх   </w:t>
      </w:r>
      <w:r w:rsidRPr="00A37629">
        <w:rPr>
          <w:rFonts w:ascii="Arial" w:hAnsi="Arial" w:cs="Arial"/>
          <w:b/>
          <w:bCs/>
          <w:lang w:val="mn-MN"/>
        </w:rPr>
        <w:tab/>
      </w:r>
    </w:p>
    <w:p w14:paraId="0D622A00"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нэгдлийг ойлгодог. </w:t>
      </w:r>
    </w:p>
    <w:p w14:paraId="09F202A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2.1. Дөл нь өндөр настан Осорыг цементэн довжоон дээр унагааж, амь насыг нь  бусниулсан буюу хохироосон үйлдэл  </w:t>
      </w:r>
    </w:p>
    <w:p w14:paraId="245D043C"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Объектив тал:         </w:t>
      </w:r>
    </w:p>
    <w:p w14:paraId="1F78286C"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тусгай ангийн 10.1 дүгээр зүйлийн 1 дэх хэсэг нь заавал хүний амь насыг бусниулсан буюу хүн амь насаараа хохирсон байхыг шаарддаг. </w:t>
      </w:r>
    </w:p>
    <w:p w14:paraId="5FB37AA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Бодлогын нөхцөлөөс үзэхэд, Дөлийн үйлдлийн улмаас өндөр настан Осор амь насаа алдсан байх тул гэмт үйлдэл ба үр дагавар хоёр харилцан хамааралтай буюу шалтгаант холбоо тогтоогдож байна.    </w:t>
      </w:r>
    </w:p>
    <w:p w14:paraId="0375DE3F"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Иймд Дөл нь өндөр настан Осорыг цементэн довжоон дээр унагааж, амь насыг нь хохироосон үйлдэл нь Эрүүгийн хуулийн тусгай ангийн 10.1 дүгээр зүйлийн 1 дэх хэсгийн объектив талын шинжийг хангаж байна.  </w:t>
      </w:r>
    </w:p>
    <w:p w14:paraId="5BDBCE7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Субъектив тал:     </w:t>
      </w:r>
    </w:p>
    <w:p w14:paraId="1A8D3C59"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Эрүүгийн хуулийн тусгай ангийн 10.1 дүгээр зүйлийн 1 дэх хэсэгт заасан хэм хэмжээ нь субьектив талын хувьд гэм буруугийн санаатай байх хууль зүйн шинжийг шаардана.</w:t>
      </w:r>
    </w:p>
    <w:p w14:paraId="3750D8E1"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ерөнхий ангийн 2.3 дугаар зүйлийн 2 дахь хэсэгт : Өөрийн үйлдэл, эс үйлдэхүйг хууль бус шинжтэй болохыг ухамсарлаж түүнийг хүсэж үйлдсэн, хохирол, хор уршигт зориуд хүргэсэн бол санаатай гэмт хэрэгт тооцно “гэж заасан. </w:t>
      </w:r>
    </w:p>
    <w:p w14:paraId="339D129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Бодлогын нөхцөлөөс үзэхэд: Дөлийн хувьд гэмт санааны агуулга, чиглэл нь анхнаасаа гэм буруугийн санаатай хэлбэрээр үйлдээгүй буюу “Осорыг алах буюу түүний амь нас, эрүүл мэндийн эсрэг гэмт санаатайгаар халдах зорилго, сэдэлт”-тэй байсан гэж үзэх үндэслэлгүй байна.          </w:t>
      </w:r>
    </w:p>
    <w:p w14:paraId="2BDE34E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Харин Дөл согтуурсан үедээ, таагүй харилцааны улмаас Анарын эрх чөлөөнд халдах зорилгоор түүнийг элдэн хөөж, улмаар гэрт нь нэвтрэх гэсэн боловч өндөр настан Осор “ач хүү Анарт нь хүчээр халдах гэсэн үйлдлийг нь таслан зогсоох, гэртээ оруулахгүй байх зорилгоор” гэрийнхээ хаалганы дотор талын бариулаас татан чангааж байхад нь хаалгыг удаа дараа хүчтэй </w:t>
      </w:r>
      <w:r w:rsidRPr="00A37629">
        <w:rPr>
          <w:rFonts w:ascii="Arial" w:hAnsi="Arial" w:cs="Arial"/>
          <w:lang w:val="mn-MN"/>
        </w:rPr>
        <w:lastRenderedPageBreak/>
        <w:t xml:space="preserve">татсанаас Осорыг цементэн довжоон дээр унагаасны улмаас Осорын амь нас хохирсон байх тул Дөл өөрийн тухайн үйлдлийн улмаас учирсан хохиролд ухамсар, сэтгэхүйн хувьд гэм буруугийн болгоомжгүй хэлбэрээр хандсан гэж үзэх үндэслэлтэй.   </w:t>
      </w:r>
    </w:p>
    <w:p w14:paraId="06A0F8F6"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ерөнхий ангийн 2.2 дугаар зүйлийн 3 дахь хэсэгт “өөрийн үйлдэл, эс үйлдэхүйг хууль бус шинжтэй болохыг ухамсарлаж түүний улмаас хохирол, хор уршиг учрах боломжтойг урьдчилан мэдэж түүнийг гаргахгүй байж чадна гэж тооцсон боловч хохирол, хор уршиг учирсан, эсхүл хохирол, хор уршиг учрах боломжтойг урьдчилан мэдэх ёстой, мэдэх боломжтой байсан боловч мэдэлгүй үйлдсэний улмаас хохирол, хор уршиг учирсан бол болгоомжгүй гэмт хэрэгт тооцно.” гэж заасан ба бодлогын нөхцөлөөс үзэхэд Осорын амь насыг хохирооход хүргэсэн Дөлийн дээрх үйлдэлд гэм буруугийн болгоомжгүй хэлбэр, түүний шинжүүд нэгэн зэрэг хангагдсан гэж үзнэ. Тодруулбал:     </w:t>
      </w:r>
    </w:p>
    <w:p w14:paraId="687BA3D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Осор нь “ач хүү Анарт нь хүчээр халдах гэсэн үйлдлийг нь таслан зогсоох, гэртээ оруулахгүй байх зорилгоор” гэрийнхээ хаалганы дотор талын бариулаас татан чангаасан үйлдэл нь хууль бус, зүй бус үйлдэл биш, харин хууль зүйн хувьд хүлээн зөвшөөрөгдсөн үйлдэлд хамаарна;</w:t>
      </w:r>
    </w:p>
    <w:p w14:paraId="6A48A0CE"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мөн өндөр настан Осор хүч чадлын хувьд Дөлтэй харьцуулахад харьцангуй сул  болох нь энгийн ухамсрын түвшинд тодорхой илэрхийлэгдэх бөгөөд Дөл тийнхүү гэм буруугийн хувьд болгоомжгүй хандсан үйлдэл хийгээгүй бол өндөр настан Осор тухайн үед амь насаараа хохирохгүй байсан; Өөрөөр хэлбэл, Дөл нь ухамсар сэтгэхүй болон бусад нөхцөл байдлын хувьд өндөр настан Осорын амь насыг эрсдэлд хүргэхгүй байх боломжтой байсан;      </w:t>
      </w:r>
    </w:p>
    <w:p w14:paraId="7F4DDFC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Осор амь насаа алдсан явдлыг “золгүй явдал” гэж үзэхгүй буюу тэрээр өөрийнхөө амь нас, эрүүл мэндэд өөрөө хохирол учруулаагүй байх тул Эрүүгийн хуулийн ерөнхий ангийн 1.4 дүгээр зүйлийн 3 дахь хэсэгт зааснаар гэм буруугүйгээр хор уршиг учруулсан гэж үзэх үндэслэлд хамааралгүй болно.   </w:t>
      </w:r>
    </w:p>
    <w:p w14:paraId="698F4A3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Иймд “ач хүү Анарт нь хүчээр халдах гэсэн үйлдлийг нь таслан зогсоох, түүнийг гэртээ оруулахгүй байх зорилгоор” гэрийнхээ хаалганы дотор талын бариулаас татан чангааж байхад нь хаалгыг удаа дараа хүчтэй татсанаас өндөр настан Осорыг цементэн довжоон дээр унагааж, амь насыг нь хохироосон Дөлийн үйлдлийг Эрүүгийн хуулийн тусгай ангийн 10.6 дугаар зүйлийн 1 дэх хэсэгт зааснаар зүйлчлэх буюу болгоомжгүй үйлдлийн улмаас бусдын амь насыг хохироосон гэм буруутайд тооцох үндэслэлтэй байна.  </w:t>
      </w:r>
    </w:p>
    <w:p w14:paraId="391FB165"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2.2. Дөл, Цог нар бүлэглэн бусдын өмчлөлийн “мал услах зориулалт бүхий” худгийн онгоцыг хүч хэрэглэхгүйгээр, нууцаар, хууль бусаар авсан үйлдэл </w:t>
      </w:r>
    </w:p>
    <w:p w14:paraId="0FE5421E"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Объектив тал:  </w:t>
      </w:r>
    </w:p>
    <w:p w14:paraId="692624E1"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тусгай ангийн 17.1 дүгээр зүйлийн 1 дэх хэсэгт “Бусдын эд хөрөнгийг хүч хэрэглэхгүйгээр, нууцаар, хууль бусаар авсан бол...” гэж заасан тул тус хэм хэмжээ материаллаг бүрэлдэхүүнтэй буюу үйлдэл ба эд хөрөнгийн хохирол хоёрын хооронд шалтгаант холбоо байхыг шаардана.  </w:t>
      </w:r>
    </w:p>
    <w:p w14:paraId="7761BD7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“Бусдын эд хөрөнгийг хүч хэрэглэхгүйгээр, хууль бусаар, нууцаар авах” гэдэг нь хууль ёсны ямар нэг үндэслэлгүйгээр буюу өмчлөгч, эзэмшигчийн  зөвшөөрөлгүйгээр сэм, далд аргаар </w:t>
      </w:r>
      <w:r w:rsidRPr="00A37629">
        <w:rPr>
          <w:rFonts w:ascii="Arial" w:hAnsi="Arial" w:cs="Arial"/>
          <w:lang w:val="mn-MN"/>
        </w:rPr>
        <w:lastRenderedPageBreak/>
        <w:t xml:space="preserve">авч өөртөө шилжүүлэн эзэмдсэнийг ойлгох бөгөөд тийнхүү бусдын эд хөрөнгийг авснаар хохирол учруулсан байх шинжийг заавал шаарддаг.   </w:t>
      </w:r>
    </w:p>
    <w:p w14:paraId="7BAEE72E"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тусгай ангийн 17.1 дүгээр зүйл дэх аутентик тайлбарт: -Энэ зүйлийн 1 дэх хэсэгт заасан үйлдлийн улмаас бага хэмжээний хохирол учруулсан бол гэмт хэрэг үйлдсэнд тооцохгүй. Энэ зүйлийн 2, 3 дахь хэсэгт энэ тайлбар хамаарахгүй гэж; </w:t>
      </w:r>
    </w:p>
    <w:p w14:paraId="7FE7C545"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мөн хуулийн ерөнхий ангийн 2.5 дугаар зүйлийн 4 дэх хэсгийн 4.3. ”Бага хэмжээний хохирол” гэж 300 нэгжтэй тэнцэх хэмжээний төгрөг, түүнээс доош хэмжээг”, 5.3 дугаар зүйлийн 3 дахь хэсэгт “Энэ хуульд заасан нэг нэгж нь 1000 төгрөгтэй тэнцүү байна” гэж тус тус заасан байх тул хулгайлах гэмт хэргийн энгийн бүрэлдэхүүний зүйлчлэгдэх хохирлын доод хэмжээг 300.001 төгрөг гэж үзэх үндэслэлтэй.  </w:t>
      </w:r>
    </w:p>
    <w:p w14:paraId="7987E81E"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Харин бодлогын өгөгдлөөс үзэхэд: Дөл, Цог нар бусдын өмчлөлийн 300.000 төгрөгийн үнэ бүхий бөгөөд мал услах зориулалттай  худгийн онгоцыг хүч хэрэглэхгүйгээр, нууцаар, хууль бусаар авахдаа учрах саадыг арилгах зорилгоор машин механизм ашиглаж үйлдсэн гэж үзэх үндэслэл бүхий байна. Учир нь: Дөл, Цог нар худгийн онгоцыг хууль бусаар нууцаар олж авах үйлдэл хийхдээ хэргийн газарт түргэн шуурхай очих, буцах буюу хэргийн газарт баригдахгүй байх, хууль бусаар, нууцаар авсан зүйлээ ачиж, улмаар өөр газарт зөөн  тээвэрлэх зэрэг сэдэлт зорилгын хүрээнд автомашиныг ашигласан буюу автомашиныг ашиглахгүйгээр тус худгийн онгоцыг хууль бусаар, нууцаар авах үйлдэл хэрэгжих бодит боломж, үндэслэл бүрдэхээргүй байх тул тэднийг бүлэглэн хулгайлах үйлдэл хийхдээ учрах саадыг арилгах зорилгоор машин механизм ашигласанд тооцно.             </w:t>
      </w:r>
    </w:p>
    <w:p w14:paraId="6DE0B11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Тийм учраас, Эрүүгийн хуулийн тусгай ангийн 17.1 дүгээр зүйл дэх аутентик тайлбарт: “Энэ зүйлийн 1 дэх хэсэгт заасан үйлдлийн улмаас бага хэмжээний хохирол учруулсан бол гэмт хэрэг үйлдсэнд тооцохгүй. Энэ зүйлийн 2, 3 дахь хэсэгт энэ тайлбар хамаарахгүй” гэж хуульчилсан тул хулгайлах гэмт хэргийн зүйлчлэгдэх хохирлын доод хэмжээг заавал 300.001 төгрөг ба түүнээс дээш байх ёстой гэж үзэх үндэслэлгүй болно.    </w:t>
      </w:r>
    </w:p>
    <w:p w14:paraId="5FF5E836"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Иймд “хулгайлах гэмт үйлдэл ба үр дагавар хоёр харилцан хамааралтай” буюу шалтгаант холбоо тогтоогдсон гэж үзэх бөгөөд Эрүүгийн хуулийн тусгай ангийн 17.1 дүгээр зүйлийн 2 дахь хэсгийн 2.4 дахь заалтад заасан хулгайлах гэмт хэргийн объектив талын шинж хангагдсан байна.      </w:t>
      </w:r>
    </w:p>
    <w:p w14:paraId="77DA5660"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Субъектив тал: </w:t>
      </w:r>
    </w:p>
    <w:p w14:paraId="0E309D4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Эрүүгийн хуулийн тусгай ангийн 17.1 дүгээр зүйлд заасан хэм хэмжээ нь субьектив талын хувьд гэм буруугийн санаатай хэлбэр, шунахайн буюу ашиглан шамшигдуулах сэдэлт, зорилготой байх хууль зүйн шинжийг шаардана. Хэрэв гэм буруугийн сэдэлт, зорилго байхгүй бол гэм буруутай гэж үзэхгүй.</w:t>
      </w:r>
    </w:p>
    <w:p w14:paraId="7A0DB488"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Бодлогын нөхцөлөөс үзэхэд, Дөл, Цог нарын хулгайлах үйлдэлд шунахайн сэдэлт, зорилго тогтоогдоогүй гэж үзэх үндэслэлтэй байна. Учир нь:     </w:t>
      </w:r>
    </w:p>
    <w:p w14:paraId="7AD3B126"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Дөл, Цог нар танил Борд хэлэхгүйгээр түүний өмчлөлийн бөгөөд мал услах зориулалт бүхий худгийн онгоцыг авч явсан боловч тухайн худгийн онгоцыг нийтийн эзэмшлийн нэг худгаас тодорхой зайд орших өөр худаг дээр аваачин тавьсан байх тул тэд өөрсдийн үйлдлээ бусдаас </w:t>
      </w:r>
      <w:r w:rsidRPr="00A37629">
        <w:rPr>
          <w:rFonts w:ascii="Arial" w:hAnsi="Arial" w:cs="Arial"/>
          <w:lang w:val="mn-MN"/>
        </w:rPr>
        <w:lastRenderedPageBreak/>
        <w:t xml:space="preserve">нуух, үгүйсгэх буюу бусдыг өмчийг өөрийн мэт захиран зарцуулах зэрэг хулгайлах гэмт санааны агуулга, шинж хангалттай илэрхийлэгдээгүй гэж үзэх үндэслэлтэй;    </w:t>
      </w:r>
    </w:p>
    <w:p w14:paraId="264006CD"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тэд тухайн онгоцыг борлуулж ашиг олох зорилгоор үйлдэл хийгээгүй байх ба өөрсдийн малыг услах зорилгоор авч явсан байх боловч тухайн худгийн онгоцыг нийтийн эзэмшлийн худаг дээр аваачин тавьсан тухайн тохиолдолд тус худаг дээр бусад хүмүүс мөн малаа услах боломжтой болох нь нийтэд илэрхий байх бөгөөд үүнийг үгүйсгэх үйл баримтгүй байна.   </w:t>
      </w:r>
    </w:p>
    <w:p w14:paraId="0151B407"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Мөн бодлогын нөхцөлөөс үзэхэд Дөл, Цог нарын өгсөн харилцан зөрүүгүй буюу тогтвортой мэдүүлгүүдийг бүхэлд нь няцаан үгүйсгэх үндэслэлгүй байх тул Эрүүгийн хэрэг хянан шийдвэрлэх тухай хуулийн 1.15 дугаар зүйлийн 2 дахь хэсэгт зааснаар тэдний эрх зүйн байдлыг дордуулан дүгнэх боломжгүй болно. </w:t>
      </w:r>
    </w:p>
    <w:p w14:paraId="367423F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Тийм учраас, Дөл, Цог нарын хувьд бусдын эзэмшлийн бөгөөд мал услах зориулалт бүхий худгийн онгоцыг нийтийн эзэмшлийн худаг дээр аваачин тавьсан үйлдэл  нь шунахай сэдэлтээр өөрсдийн эзэмшилд бүрмөсөн шилжүүлэн авч, захиран зарцуулж ашиг олох гэсэн субъектив талын шинжийг бүрэн агуулаагүй гэж үзэх үндэслэлтэй.    </w:t>
      </w:r>
    </w:p>
    <w:p w14:paraId="2093C59F"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Түүнчлэн, хулгайлах гэмт хэргийн субъектив талын шинжийг бүрэн агуулаагүй гэж үзсэн үндэслэл, үйл баримт нь Эрүүгийн хуулийн ерөнхий ангийн 2.1 дүгээр зүйлийн 4 дэх хэсэгт зааснаар “гэмт хэргийн шинжийг хэлбэрийн төдий агуулсан” гэх шинж, утга агуулгыг тодорхойлоход хамааралтай болохыг үгүйсгэх боломжгүй. Тодруулбал, гэмт хэргийн нийгмийн аюулын бүрдэл хэсэг болох түүний шинж чанар, хэр хэмжээг тодорхойлоход гэм буруугийн хэлбэр ба сэдэлт, зорилго зэргийг тал бүрээс нь заавал харгалзан үздэг.  </w:t>
      </w:r>
    </w:p>
    <w:p w14:paraId="6011275F"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Иймд Дөл, Цог нар бүлэглэн бусдын өмчлөлийн “мал услах зориулалт бүхий” худгийн онгоцыг хүч хэрэглэхгүйгээр, нууцаар, хууль бусаар авсан үйлдэл нь Эрүүгийн хуулийн тусгай ангийн 17.1 дүгээр зүйлд заасан хулгайлах гэмт хэргийн шинжийг бүрэн хангахгүй байх тул Эрүүгийн хэрэг хянан шийдвэрлэх тухай хуулийн 34.19 дүгээр зүйлийн 1 дэх хэсгийн 1.1 дэх заалтад зааснаар хэрэгсэхгүй болгож, Дөл, Цог нарыг цагаатгаж шийдвэрлэнэ.      </w:t>
      </w:r>
    </w:p>
    <w:p w14:paraId="0D2053B6" w14:textId="77777777" w:rsidR="00141588" w:rsidRPr="00A37629" w:rsidRDefault="00141588" w:rsidP="00141588">
      <w:pPr>
        <w:pStyle w:val="NoSpacing"/>
        <w:spacing w:line="360" w:lineRule="auto"/>
        <w:jc w:val="both"/>
        <w:rPr>
          <w:rFonts w:ascii="Arial" w:hAnsi="Arial" w:cs="Arial"/>
          <w:lang w:val="mn-MN"/>
        </w:rPr>
      </w:pPr>
    </w:p>
    <w:p w14:paraId="2C382BAF" w14:textId="77777777" w:rsidR="00141588" w:rsidRPr="00A37629" w:rsidRDefault="00141588" w:rsidP="00141588">
      <w:pPr>
        <w:pStyle w:val="NoSpacing"/>
        <w:spacing w:line="360" w:lineRule="auto"/>
        <w:ind w:firstLine="720"/>
        <w:jc w:val="both"/>
        <w:rPr>
          <w:rFonts w:ascii="Arial" w:hAnsi="Arial" w:cs="Arial"/>
          <w:b/>
          <w:bCs/>
          <w:lang w:val="mn-MN"/>
        </w:rPr>
      </w:pPr>
      <w:r w:rsidRPr="00A37629">
        <w:rPr>
          <w:rFonts w:ascii="Arial" w:hAnsi="Arial" w:cs="Arial"/>
          <w:b/>
          <w:bCs/>
          <w:lang w:val="mn-MN"/>
        </w:rPr>
        <w:t xml:space="preserve">3. Гэмт хэрэг үйлдэх үе шатыг тогтоох   </w:t>
      </w:r>
    </w:p>
    <w:p w14:paraId="01F0A5C1"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Эрүүгийн эрх зүйд гэмт хэрэгт бэлтгэх болон завдахыг төгсөөгүй гэмт хэрэг гэж үздэг ба урьдчилсан нөхцөл нь үйлдэл туйлдаа хүрч эрүүгийн хуулиар шаардсан үр дүн гаргаагүй байх явдал юм.</w:t>
      </w:r>
    </w:p>
    <w:p w14:paraId="0813940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Дөлийн үйлдсэн Эрүүгийн хуулийн тусгай ангийн 10.6 дугаар зүйлийн 1 дэх хэсэгт заасан гэмт хэрэг тус бүрийн объектив олон субъектив шинж бүрэн хангагдсан байх тул “төгссөн” гэж үзнэ. </w:t>
      </w:r>
    </w:p>
    <w:p w14:paraId="7222FC94"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Дөл, Цог нарт холбогдох хулгайлах гэмт хэргийг хэрэгсэхгүй болгож шийдвэрлэсэн болно.     </w:t>
      </w:r>
    </w:p>
    <w:p w14:paraId="4340AC66"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Иймд Дөлийг гэмт хэрэгт бэлтгэх, завдсан гэж үзэх үндэслэлгүй.     </w:t>
      </w:r>
    </w:p>
    <w:p w14:paraId="23228C50" w14:textId="77777777" w:rsidR="00141588" w:rsidRPr="00A37629" w:rsidRDefault="00141588" w:rsidP="00141588">
      <w:pPr>
        <w:pStyle w:val="NoSpacing"/>
        <w:spacing w:line="360" w:lineRule="auto"/>
        <w:jc w:val="both"/>
        <w:rPr>
          <w:rFonts w:ascii="Arial" w:hAnsi="Arial" w:cs="Arial"/>
          <w:lang w:val="mn-MN"/>
        </w:rPr>
      </w:pPr>
    </w:p>
    <w:p w14:paraId="7F6DA8EF" w14:textId="77777777" w:rsidR="00141588" w:rsidRPr="00A37629" w:rsidRDefault="00141588" w:rsidP="00141588">
      <w:pPr>
        <w:pStyle w:val="NoSpacing"/>
        <w:spacing w:line="360" w:lineRule="auto"/>
        <w:ind w:firstLine="720"/>
        <w:jc w:val="both"/>
        <w:rPr>
          <w:rFonts w:ascii="Arial" w:hAnsi="Arial" w:cs="Arial"/>
          <w:b/>
          <w:bCs/>
          <w:lang w:val="mn-MN"/>
        </w:rPr>
      </w:pPr>
      <w:r w:rsidRPr="00A37629">
        <w:rPr>
          <w:rFonts w:ascii="Arial" w:hAnsi="Arial" w:cs="Arial"/>
          <w:b/>
          <w:bCs/>
          <w:lang w:val="mn-MN"/>
        </w:rPr>
        <w:t>4. Гэмт хэрэгт хамтран оролцох төрөл, хэлбэр байгаа эсэхийг тогтоох</w:t>
      </w:r>
    </w:p>
    <w:p w14:paraId="2CF6CAC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ерөнхий ангийн 3.1 дүгээр зүйлийн 1 дэх хэсэгт “Хоёр, түүнээс олон хүн гэмт хэрэг үйлдэхэд санаатай нэгдсэнийг гэмт хэрэгт хамтран оролцох гэнэ” гэж заасан. </w:t>
      </w:r>
    </w:p>
    <w:p w14:paraId="12CE8BDD"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lastRenderedPageBreak/>
        <w:t xml:space="preserve">Тус хэм хэмжээний урьдчилсан нөхцөлд хоёр буюу түүнээс олон хүн, гэмт хэрэг үйлдэхэд санаатай нэгдсэн гэсэн хоёр хууль зүйн нөхцөл байдаг. </w:t>
      </w:r>
    </w:p>
    <w:p w14:paraId="18D86704"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Бодлогын нөхцөлөөс үзэхэд Дөл нь Эрүүгийн хуулийн тусгай ангийн 10.6 дугаар зүйлийн 1 дэх хэсэгт заасан гэмт хэргийг дангаараа үйлдсэн байна. </w:t>
      </w:r>
    </w:p>
    <w:p w14:paraId="40F4D41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Дөл, Цог нарт холбогдох хулгайлах гэмт хэргийг хэрэгсэхгүй болгож шийдвэрлэсэн болно.  </w:t>
      </w:r>
    </w:p>
    <w:p w14:paraId="0B79C683"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Иймд Дөл гэмт хэргийг бусадтай хамтран үйлдсэн гэж үзэх үндэслэлгүй.  </w:t>
      </w:r>
    </w:p>
    <w:p w14:paraId="59C133A1" w14:textId="77777777" w:rsidR="00141588" w:rsidRPr="00A37629" w:rsidRDefault="00141588" w:rsidP="00141588">
      <w:pPr>
        <w:pStyle w:val="NoSpacing"/>
        <w:spacing w:line="360" w:lineRule="auto"/>
        <w:jc w:val="both"/>
        <w:rPr>
          <w:rFonts w:ascii="Arial" w:hAnsi="Arial" w:cs="Arial"/>
          <w:lang w:val="mn-MN"/>
        </w:rPr>
      </w:pPr>
    </w:p>
    <w:p w14:paraId="63E68F7D" w14:textId="77777777" w:rsidR="00141588" w:rsidRPr="00A37629" w:rsidRDefault="00141588" w:rsidP="00141588">
      <w:pPr>
        <w:pStyle w:val="NoSpacing"/>
        <w:spacing w:line="360" w:lineRule="auto"/>
        <w:ind w:firstLine="720"/>
        <w:jc w:val="both"/>
        <w:rPr>
          <w:rFonts w:ascii="Arial" w:hAnsi="Arial" w:cs="Arial"/>
          <w:b/>
          <w:bCs/>
          <w:lang w:val="mn-MN"/>
        </w:rPr>
      </w:pPr>
      <w:r w:rsidRPr="00A37629">
        <w:rPr>
          <w:rFonts w:ascii="Arial" w:hAnsi="Arial" w:cs="Arial"/>
          <w:b/>
          <w:bCs/>
          <w:lang w:val="mn-MN"/>
        </w:rPr>
        <w:t xml:space="preserve"> 5. Гэмт хэргийг үгүйсгэх нөхцөл байдал </w:t>
      </w:r>
    </w:p>
    <w:p w14:paraId="1F1B8CBF"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Гэмт хэргийг үгүйсгэх нөхцөл байдлууд нь гадаад илрэх хэлбэр, агуулгын хувьд Эрүүгийн хуулийн тусгай ангид заасан тодорхой гэмт хэргийн шинжийг агуулсан боловч ямагт нийгэм, төр, байгууллага, аж ахуйн нэгж, иргэдийн болон өөрсдийн эрх ашиг, сонирхлыг хамгаалах зорилгын үүднээс нийгэмд ашигтай, Эрүүгийн хуульд тусгайлан заасан үйлдэл, эс үйлдэл байдаг. </w:t>
      </w:r>
    </w:p>
    <w:p w14:paraId="7EF34929"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Өрөөр хэлбэл, Эрүүгийн хуулийн тусгай ангид заасан гэмт хэргийн шинжийг хэлбэрийн хувьд бүрэн хангаж байгаа ч үйлдэгдэх онцгой нөхцөл байдал, нийгэмд ашигтай байх сэдлээр гэмт хэргийг үгүйсгэх, эрүүгийн хариуцлага хүлээлгэхгүй байхаар Эрүүгийн хуулийн ерөнхий ангийн 4 дүгээр бүлэгт заасан.</w:t>
      </w:r>
    </w:p>
    <w:p w14:paraId="564A9890"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Бодлогын нөхцөлөөс үзэхэд дээрх гэмт хэргийг үгүйсгэх хууль ёсны шинж, үндэслэл Дөлийн үйлдсэн гэмт хэрэгт тогтоогдохгүй байна.        </w:t>
      </w:r>
    </w:p>
    <w:p w14:paraId="06CBB118" w14:textId="77777777" w:rsidR="00141588" w:rsidRPr="00A37629" w:rsidRDefault="00141588" w:rsidP="00141588">
      <w:pPr>
        <w:pStyle w:val="NoSpacing"/>
        <w:spacing w:line="360" w:lineRule="auto"/>
        <w:jc w:val="both"/>
        <w:rPr>
          <w:rFonts w:ascii="Arial" w:hAnsi="Arial" w:cs="Arial"/>
          <w:lang w:val="mn-MN"/>
        </w:rPr>
      </w:pPr>
    </w:p>
    <w:p w14:paraId="4F55A4F5" w14:textId="77777777" w:rsidR="00141588" w:rsidRPr="00A37629" w:rsidRDefault="00141588" w:rsidP="00141588">
      <w:pPr>
        <w:pStyle w:val="NoSpacing"/>
        <w:spacing w:line="360" w:lineRule="auto"/>
        <w:ind w:firstLine="720"/>
        <w:jc w:val="both"/>
        <w:rPr>
          <w:rFonts w:ascii="Arial" w:hAnsi="Arial" w:cs="Arial"/>
          <w:b/>
          <w:bCs/>
          <w:lang w:val="mn-MN"/>
        </w:rPr>
      </w:pPr>
      <w:r w:rsidRPr="00A37629">
        <w:rPr>
          <w:rFonts w:ascii="Arial" w:hAnsi="Arial" w:cs="Arial"/>
          <w:b/>
          <w:bCs/>
          <w:lang w:val="mn-MN"/>
        </w:rPr>
        <w:t xml:space="preserve">6. Гэмт хэргийн улмаас учирсан хохирол, хор уршгийн талаар </w:t>
      </w:r>
    </w:p>
    <w:p w14:paraId="23A63089"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6.1. Хохирогчийн хууль ёсны төлөөлөгч Дамбын нэхэмжлэлийн талаар  Иргэний хуулийн 508 дугаар зүйлийн 508.1-д “Хохирогч нас барсан бол түүнийг оршуулахтай холбогдсон зайлшгүй зардал болон энэ хуулийн 508.5-д зааснаас бусад гэм хор учруулсны төлбөрийг түүний өв залгамжлагч шаардах эрхтэй” гэж заасан. </w:t>
      </w:r>
    </w:p>
    <w:p w14:paraId="39A0AFF7"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Хохирогчийн хууль ёсны төлөөлөгч Дамбын нэхэмжилсэн “талийгчийн 21 ба 49 хоног хураах зан үйл болон буяны хандив өргөх зардал” нь талийгаачийг оршуулахтай холбогдсон зайлшгүй зардалд хамаарах үндэслэл, баримтгүй байна. </w:t>
      </w:r>
    </w:p>
    <w:p w14:paraId="648B7969"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Мөн Иргэний хуулийн 508 дугаар зүйлийн 508.5-д “Гэмт хэргийн улмаас нас барсан иргэний хамт амьдарч байсан гэр бүлийн насанд хүрсэн гишүүн...нь өөрийн сэтгэцэд учирсан гэм хорыг арилгуулахыг шаардах эрхтэй гэж заасан бөгөөд бодлогын өгөгдлөөс үзэхэд Дамбыг “гэмт хэргийн улмаас нас барсан иргэний хамт амьдарч байсан гэр бүлийн насанд хүрсэн гишүүн гэж үзэх үндэслэлгүй” байна. </w:t>
      </w:r>
    </w:p>
    <w:p w14:paraId="55BD9373"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Учир нь: Гэр бүлийн тухай хуулийн 3 дугаар зүйлийн 3.1.4.“гэр бүлийн гишүүн” гэж гэрлэгчид, тэдэнтэй хамт амьдарч байгаа төрсөн, дагавар, үрчлэн авсан хүүхэд болон төрөл, садангийн хүнийг; 3.1.6.“садангийн хүн” гэж гэрлэгчийн төрсөн ах, эгч, дүү, авга, нагац, тэдгээрийн хүүхдийг;...тус тус ойлгож, хэрэглэхээр заасан бөгөөд Дамба гадаад улсад амьдарч байгаад ирсэн гэх үйл баримт өгөгдсөн байна. </w:t>
      </w:r>
    </w:p>
    <w:p w14:paraId="64CE889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lastRenderedPageBreak/>
        <w:t xml:space="preserve">Тийм учраас, хохирогчийн хууль ёсны төлөөлөгч Дамба нь сэтгэцэд учирсан хор уршгийг нэхэмжлэх эрхгүй буюу сэтгэцэд учирсан хор уршгийг тооцон түүнд олгож шийдвэрлэх үндэслэлгүй байна.   </w:t>
      </w:r>
    </w:p>
    <w:p w14:paraId="625B7660"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Мөн Иргэний хууль дахь хохирогч нас барснаас учирсан гэм хорын талаарх зохицуулалтуудаас үзэхэд нас барсан иргэний хууль ёсны төлөөлөгчийн хувьд “өөрийн сэтгэл санаанд учирсан үр дагаврыг эмчлүүлэх зардлыг урьдчилан гаргуулах” тухай зохицуулалт байхгүй болно.   </w:t>
      </w:r>
    </w:p>
    <w:p w14:paraId="69D9396F"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Харин Иргэний хуулийн 511 дүгээр зүйлийн  511.2-т заасан “...хохирогчийн сэтгэл санаанд учирсан үр дагавар...”-ын асуудал нь бусдын нэр төр, алдар хүнд, ажил хэргийн нэр хүндийг гутаасан мэдээ тараасны улмаас хохирогч өөрийн эдийн бус буюу сэтгэл санаанд учирсан гэм хортой холбоотой тусдаа ойлголт болно.    </w:t>
      </w:r>
    </w:p>
    <w:p w14:paraId="4D7D3B21"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Иймд Эрүүгийн хэрэг хянан шийдвэрлэх тухай хуулийн 36.3 дугаар зүйлийн 1 дэх хэсэгт зааснаар хохирогчийн хууль ёсны төлөөлөгч Дамбын нэхэмжлэлийг бүхэлд нь хэрэгсэхгүй болгож шийдвэрлэх үндэслэлтэй гэж үзнэ.  </w:t>
      </w:r>
    </w:p>
    <w:p w14:paraId="585238B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6.2. Хохирогч Борд учирсан хохирлын талаар </w:t>
      </w:r>
    </w:p>
    <w:p w14:paraId="65572C4E"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Дөл, Цог нарын “мал услах зориулалт бүхий бусдын худгийн онгоцыг хүч хэрэглэхгүйгээр, нууцаар, хууль бусаар авсан үйлдлийг гэмт хэргийн шинжгүй гэж үзсэн боловч энэ нь тэднийг хохирогчид учирсан гэм хорыг хариуцан арилгах үүргээс чөлөөлөх үндэслэл болохгүй.  </w:t>
      </w:r>
    </w:p>
    <w:p w14:paraId="5C4BAC63"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Иймд Эрүүгийн хэрэг хянан шийдвэрлэх тухай хуулийн 36.3 дугаар зүйл 2 дахь хэсгийн 2.2-т зааснаар иргэний нэхэмжлэлийг хэлэлцэхгүй орхиж шийдвэрлэх бөгөөд тухайн тохиолдолд хохирогч нь иргэний хэрэг шүүхэд хянан шийдвэрлэх журмаар нэхэмжлэл дахин гаргах эрх нь нээлттэй болно.    </w:t>
      </w:r>
    </w:p>
    <w:p w14:paraId="5E213C10" w14:textId="77777777" w:rsidR="00141588" w:rsidRPr="00A37629" w:rsidRDefault="00141588" w:rsidP="00141588">
      <w:pPr>
        <w:pStyle w:val="NoSpacing"/>
        <w:spacing w:line="360" w:lineRule="auto"/>
        <w:jc w:val="both"/>
        <w:rPr>
          <w:rFonts w:ascii="Arial" w:hAnsi="Arial" w:cs="Arial"/>
          <w:lang w:val="mn-MN"/>
        </w:rPr>
      </w:pPr>
    </w:p>
    <w:p w14:paraId="3C0A1372" w14:textId="77777777" w:rsidR="00141588" w:rsidRPr="00A37629" w:rsidRDefault="00141588" w:rsidP="00141588">
      <w:pPr>
        <w:pStyle w:val="NoSpacing"/>
        <w:spacing w:line="360" w:lineRule="auto"/>
        <w:ind w:firstLine="720"/>
        <w:jc w:val="both"/>
        <w:rPr>
          <w:rFonts w:ascii="Arial" w:hAnsi="Arial" w:cs="Arial"/>
          <w:b/>
          <w:bCs/>
          <w:lang w:val="mn-MN"/>
        </w:rPr>
      </w:pPr>
      <w:r w:rsidRPr="00A37629">
        <w:rPr>
          <w:rFonts w:ascii="Arial" w:hAnsi="Arial" w:cs="Arial"/>
          <w:b/>
          <w:bCs/>
          <w:lang w:val="mn-MN"/>
        </w:rPr>
        <w:t xml:space="preserve">7. Эрүүгийн хариуцлага хүлээлгэх, чөлөөлөх, тэнсэх үндэслэл, журмыг тодорхойлох  </w:t>
      </w:r>
    </w:p>
    <w:p w14:paraId="6998C9E3"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7.1. Бодлогын нөхцөлөөр Дөл Эрүүгийн хуулийн тусгай ангийн 10.6 дугаар зүйлийн 1 дэх хэсэгт заасан гэмт хэрэг үйлдсэн гэм буруутай байх тул эрүүгийн хариуцлага хүлээлгэнэ.  </w:t>
      </w:r>
    </w:p>
    <w:p w14:paraId="258602A0"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ерөнхий ангийн 1.3 дугаар зүйлийн 1 дэх хэсэгт зааснаар эрүүгийн хариуцлага нь үйлдэгдсэн гэмт хэргийн аюулын шинж чанар, хэр хэмжээ, гэм буруугийн хэлбэрт тохирсон байх ёстой. </w:t>
      </w:r>
    </w:p>
    <w:p w14:paraId="211F82F4"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ерөнхий ангийн 6.1 дүгээр зүйлийн 2 дахь хэсэгт зааснаар эрүүгийн хариуцлага хүлээлгэхэд гэмт хэрэг үйлдсэн нөхцөл байдал, учирсан хохирол, хор уршгийн шинж чанар, тэдний хувийн байдал, эрүүгийн хариуцлагыг хөнгөрүүлэх, хүндрүүлэх нөхцөл байдлыг бүх талаас нь харгалзан үзэх нийтлэг шаардлага тавигддаг. </w:t>
      </w:r>
    </w:p>
    <w:p w14:paraId="50EF816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Бодлогын нөхцөлөөс үзэхэд, Дөл нь анх гэмт хэрэг үйлдэх үедээ 18 насанд хүрээгүй буюу 17 нас 11 сартай байсан байх тул Эрүүгийн хуулийн ерөнхий ангийн 8.1 дүгээр зүйлийн 1 дэх хэсэгт заасан “гэмт хэрэг үйлдэх үедээ арван дөрвөн насанд хүрсэн ба арван найман насанд хүрээгүй байсан хүнд энэ бүлэгт заасан үндэслэл, журмын дагуу эрүүгийн хариуцлага хүлээлгэнэ” гэсэн зохицуулалт үйлчилнэ.  </w:t>
      </w:r>
    </w:p>
    <w:p w14:paraId="0F4490E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lastRenderedPageBreak/>
        <w:t xml:space="preserve">Эрүүгийн хуулийн 8.1 дүгээр зүйлийн 2, 3 дахь хэсэгт зааснаар “өсвөр насны хүнд хүлээлгэх эрүүгийн хариуцлага нь түүний нас, биед тохирсон, эрүүл мэнд, ёс суртахуун, сэтгэцийн онцлогийг харгалзсан, нийгэмд өөрийн байр суурийг олоход туслах, боловсрол эзэмшүүлэх, үйлдсэн гэмт хэргийнх нь хор уршгийг ухамсарлуулах, гэмт хэрэг үйлдэхэд хүргэсэн орчин, хүмүүсийн нөлөөнөөс тусгаарлах, шаардлагатай тохиолдолд гэмт хэрэг үйлдсэн өсвөр насны хүнийг хорьж хүмүүжүүлэхэд чиглэсэн байхаас гадна гэмт хэрэг үйлдсэн өсвөр насны хүний хувийн байдал, гэмт хэрэг үйлдсэн нөхцөл байдлыг харгалзан энэ бүлэгт заасан журмын дагуу ял оногдуулж, оногдуулсан ял дээр нэмж, эсхүл ял оногдуулахгүйгээр хүмүүжлийн чанартай албадлагын арга хэмжээ хэрэглэж болно.” </w:t>
      </w:r>
    </w:p>
    <w:p w14:paraId="5476EB9E"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Мөн Дөл нь түүнд холбогдох хэргийг хянан шийдвэрлэх үед 18 насанд хүрсэн байх боловч түүнд Эрүүгийн хуулийн 8 дугаар бүлэгт заасан үндэслэл, журмын дагуу эрүүгийн хариуцлага хүлээлгэхэд ямар нэгэн хориглолт байхгүй байна. </w:t>
      </w:r>
    </w:p>
    <w:p w14:paraId="7139EB1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Учир нь, Эрүүгийн хуулийн ерөнхий ангийн 8.1 дүгээр зүйлийн 6 дахь хэсэгт “гэмт хэрэг үйлдэх үедээ 14 насанд хүрсэн ба 18 насанд хүрээгүй байсан хүн шүүхийн шийтгэх тогтоол гарах үед 18 насанд хүрсэн бол энэ хуулийн 8.6 дугаар зүйл хамаарахгүй” буюу зөвхөн хорих ял оногдуулсан шүүхийн шийтгэх тогтоол биелүүлэхийг хойшлуулж болохгүй гэж хориглолт тогтоосон, харин өөр бусад ямар нэгэн хориглолтыг эрүүгийн хуулиар тогтоогоогүй байна.  </w:t>
      </w:r>
    </w:p>
    <w:p w14:paraId="55FD5B6D"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Тийм учраас, Дөлд Эрүүгийн хуулийн тусгай ангийн 10.6 дугаар зүйлийн 1 дэх хэсэгт зааснаар эрүүгийн хариуцлага хүлээлгэхийн тулд дээр дурдсан шалгуур, нөхцөл байдлыг тал бүрээс нь харгалзан үзэж, зорчих эрхийг хязгаарлах эсхүл хорих ялын аль нэгийг сонгож, эрүүгийн хуулийн тусгай ангид заасан тухайн төрлийн ялын интервал хэмжээний хүрээнд оногдуулах нь шүүхийн эрх хэмжээнд хамаарах боловч Эрүүгийн хуулийн ерөнхий ангийн 8.4 дүгээр зүйлийн 1, 8.5 дугаар зүйлийн 1 дэх хэсэгт тус тус заасан үндэслэл, журмын дагуу зорчих эрхийг хязгаарлах ял эсхүл хорих ялын аль нэгийг сонгон оногдуулж, улмаар эдлэх ялыг тус тус 2 дахин багасгаж тогтоохоор хуульчлагдсан.   </w:t>
      </w:r>
    </w:p>
    <w:p w14:paraId="73A93EBC"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Гэхдээ шүүхээс тийнхүү ял оногдуулж, эдлэх ялыг 2 дахин багасгаж тогтоосон хэмжээ нь Эрүүгийн хуулийн ерөнхий ангид заасан тухайн төрлийн ялын доод хэмжээнээс доош байж болохгүйг анхаарах нь зүйтэй.   </w:t>
      </w:r>
    </w:p>
    <w:p w14:paraId="3ED89FD8"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7.2. Эрүүгийн хариуцлагаас чөлөөлөх журам хэрэглэх эсэх </w:t>
      </w:r>
    </w:p>
    <w:p w14:paraId="1778EA87"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ерөнхий ангийн 6.7 дугаар зүйлийн 1 дэх хэсгийн 1.1-д зааснаар эрүүгийн хариуцлагаас чөлөөлөх үндэслэл, журмыг зохицуулсан.  </w:t>
      </w:r>
    </w:p>
    <w:p w14:paraId="14C9F458"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хуулийн ерөнхий ангийн 6.7 дугаар зүйлийн 1 дэх хэсэг, 1 дэх хэсгийн 1.1 дэх заалтад зааснаар  гэмт хэрэг үйлдсэн хүнийг эрүүгийн хариуцлагаас чөлөөлөхөд :   </w:t>
      </w:r>
    </w:p>
    <w:p w14:paraId="22AF8965"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хөнгөн гэмт хэрэг үйлдсэн, гэхдээ </w:t>
      </w:r>
    </w:p>
    <w:p w14:paraId="4336AEB9"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Эрүүгийн хуулийн тусгай ангид хорих ял оногдуулахаар заагаагүй, эсхүл хорих ялын дээд хэмжээг гурван жил хүртэл, түүнээс бага хугацаагаар тогтоосон гэмт хэрэг үйлдсэн байх, </w:t>
      </w:r>
    </w:p>
    <w:p w14:paraId="23D9D08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гэм буруугаа хүлээн зөвшөөрсөн,   </w:t>
      </w:r>
    </w:p>
    <w:p w14:paraId="76221618"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учруулсан хохирлоо нөхөн төлсөн байхаас тухайн гэмт хэрэг үйлдсэн нөхцөл байдал,  учруулсан хохирол, хор уршгийн шинж чанар, хувийн байдал, мөрдөн шалгах ажиллагааг </w:t>
      </w:r>
      <w:r w:rsidRPr="00A37629">
        <w:rPr>
          <w:rFonts w:ascii="Arial" w:hAnsi="Arial" w:cs="Arial"/>
          <w:lang w:val="mn-MN"/>
        </w:rPr>
        <w:lastRenderedPageBreak/>
        <w:t xml:space="preserve">шуурхай явуулж гэмт хэргийг нотлоход дэмжлэг үзүүлсэн байдлыг харгалзан үзэх шаардлага, шалгууртай  байдаг. </w:t>
      </w:r>
    </w:p>
    <w:p w14:paraId="14B6A05D"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Тийм учраас, Дөлийн үйлдсэн гэмт хэрэг 1-5 жил хүртэл хорих ял оногдуулахаар заасан тул эрүүгийн хариуцлагаас чөлөөлөх үндэслэлгүй байна.    </w:t>
      </w:r>
    </w:p>
    <w:p w14:paraId="3D32DD30"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7.3. Хорих ял оногдуулахгүйгээр тэнсэх журам хэрэглэх эсэх  </w:t>
      </w:r>
    </w:p>
    <w:p w14:paraId="635C4643"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7.3.1. Хорих ял оногдуулахгүйгээр тэнсэх асуудал Эрүүгийн хуулийн ерөнхий ангийн 6.7 дугаар зүйлийн 1 дэх хэсгийн 1.1, 1.2, мөн 7.1 дүгээр зүйлд тус тус зохицуулагдсан ба 6.7 дугаар зүйлд заасан зохицуулалт нь “тэнсэх” ерөнхий буюу нийтлэг шаардлага, журмыг, харин 7.1 дүгээр зүйл нь тэнсэх тусгайлсан буюу нарийвчилсан зохицуулалт болно.  </w:t>
      </w:r>
    </w:p>
    <w:p w14:paraId="660071A6"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Хорих ял оногдуулахгүйгээр тэнсэхэд :     </w:t>
      </w:r>
    </w:p>
    <w:p w14:paraId="3A14CA11"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хөнгөн гэмт хэрэг үйлдсэн, </w:t>
      </w:r>
    </w:p>
    <w:p w14:paraId="4A98C31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гэм буруугаа хүлээн зөвшөөрсөн,     </w:t>
      </w:r>
    </w:p>
    <w:p w14:paraId="61805BA9"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- 2, түүнээс дээш гэмт хэргийг санаатай үйлдээгүй байх, </w:t>
      </w:r>
    </w:p>
    <w:p w14:paraId="14493F3C"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учруулсан хохирлоо нөхөн төлж хор уршгийг арилгасан, эсхүл гэмт хэргийн улмаас учирсан хохирлыг нөхөн төлөхөө илэрхийлсэн зэрэг шалгуураас гадна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байдал зэргийг бүх талаас нь шалгаж, дүгнэх шаардлагатай.  </w:t>
      </w:r>
    </w:p>
    <w:p w14:paraId="590B964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7.3.2. Бодлогын нөхцөлөөс үзэхэд, Дөл нь анх гэмт хэрэг үйлдэх үедээ 18 насанд хүрээгүй буюу 17 нас 11 сартай байсан байх тул Эрүүгийн хуулийн 8.1 дүгээр зүйлийн 1 дэх хэсэгт заасан “гэмт хэрэг үйлдэх үедээ арван дөрвөн насанд хүрсэн ба арван найман насанд хүрээгүй байсан хүнд энэ бүлэгт заасан үндэслэл, журмын дагуу эрүүгийн хариуцлага хүлээлгэнэ” гэсэн; түүнчлэн Эрүүгийн хуулийн 8.1 дүгээр зүйлийн 3 дахь хэсэгт ”...ял оногдуулахгүйгээр хүмүүжлийн чанартай албадлагын арга хэмжээ хэрэглэж болно” гэсэн зохицуулалтуудыг тус тус хэрэглэх үндэслэлтэй. </w:t>
      </w:r>
    </w:p>
    <w:p w14:paraId="2C91AF9C"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Хэдийгээр Дөл нь түүнд холбогдох хэргийг хянан шийдвэрлэх үед 18 насанд хүрсэн байх боловч түүнд Эрүүгийн хуулийн 8 дугаар бүлэгт заасан үндэслэл, журмын дагуу эрүүгийн хариуцлага хүлээлгэхэд ямар нэгэн хориглолт байхгүй.  </w:t>
      </w:r>
    </w:p>
    <w:p w14:paraId="6C0AD0E1"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Тийм учраас, Эрүүгийн хуулийн 8.7 дугаар зүйлийн 1 дэх хэсэгт заасан “Эрүүгийн хуулийн тусгай ангид хорих ялын дээд хэмжээг найман жил, түүнээс доош хугацаагаар тогтоосон, эсхүл энэ хуулийн тусгай ангид хорих ял оногдуулахаар заагаагүй гэмт хэрэг үйлдсэн өсвөр насны хүний гэмт хэрэг үйлдсэн нөхцөл байдал, учруулсан хохирол, хор уршгийн шинж чанар, хувийн байдлыг харгалзан ял оногдуулахыг тэнсэж нэг жилээс гурван жил хүртэл хугацаагаар хянан хүмүүжүүлэхээр шийдвэрлэж болно.” гэсэн зохицуулалт нь үйлчлэлийн хувьд гэмт хэрэг үйлдэх үедээ 18 насанд хүрээгүй байсан этгээдэд хэрэглэгдэх хамгийн нарийвчилсан бөгөөд түүний эрх зүйн байдлыг илүү дээрдүүлсэн хэм хэмжээнд хамаарч байгаа болно.         </w:t>
      </w:r>
    </w:p>
    <w:p w14:paraId="75FC4670"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Гэхдээ тухайн зохицуулалт нь шүүхэд үүрэг болгосон биш харин эрх олгосон хэм хэмжээ бөгөөд хэрэв шүүхээс тийнхүү ял оногдуулахгүйгээр тэнсэж, засан хүмүүжүүлэхээр шийдвэрлэсэн тохиолдолд Эрүүгийн хуулийн 8.7 дугаар зүйлийн 3 дахь хэсэгт “гэмт хэрэг үйлдсэн өсвөр насны хүнийг гэм бурууг нь ухамсарлуулах, хохирлыг нөхөн төлүүлэх, </w:t>
      </w:r>
      <w:r w:rsidRPr="00A37629">
        <w:rPr>
          <w:rFonts w:ascii="Arial" w:hAnsi="Arial" w:cs="Arial"/>
          <w:lang w:val="mn-MN"/>
        </w:rPr>
        <w:lastRenderedPageBreak/>
        <w:t>хөдөлмөрлөх, амьдрах зөв арга барилд сургах, гэмт хэрэг дахин үйлдэхээс урьдчилан сэргийлэх зорилгоор энэ хуулийн 7.3 дугаар зүйлийн 2 дахь хэсэгт заасан үүргийг хүлээлгэнэ.” гэж заасан.</w:t>
      </w:r>
    </w:p>
    <w:p w14:paraId="6A273CE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Өөрөөр хэлбэл, ял оногдуулахгүйгээр тэнсэж байгаа боловч эрүүгийн хариуцлагын нэг төрөл болох үүрэг хүлээлгэх албадлагын арга хэмжээг хэрэглэж байгаа нь эрүүгийн хариуцлагын зорилгод нийцүүлж буй зохицуулалт гэж ойлгоно. </w:t>
      </w:r>
    </w:p>
    <w:p w14:paraId="7E57903A"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7.4. Өршөөл үзүүлэх тухай 2021.07.02-ны өдрийн хууль хэрэглэх эсэх    </w:t>
      </w:r>
    </w:p>
    <w:p w14:paraId="0044F104"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Өршөөл үзүүлэх тухай хуулийн 3 дугаар зүйлийн 3.1.2-т “2021 оны 6 дугаар сарын 24-ний өдрийн 24 цаг 00 минутаас өмнө 2015 оны 12 дугаар сарын 3-ны өдөр баталсан Эрүүгийн хуульд заасан гэмт хэрэг үйлдсэн” бол гэж тухайн хууль үйлчлэх цаг хугацааг тодорхой заасан тул Дөлийн үйлдсэн гэмт хэрэгт Өршөөл үзүүлэх тухай хууль үйлчлэх үндэслэлгүй болно.   </w:t>
      </w:r>
    </w:p>
    <w:p w14:paraId="6FDEE850" w14:textId="77777777" w:rsidR="00141588" w:rsidRPr="00A37629" w:rsidRDefault="00141588" w:rsidP="00141588">
      <w:pPr>
        <w:pStyle w:val="NoSpacing"/>
        <w:spacing w:line="360" w:lineRule="auto"/>
        <w:ind w:firstLine="720"/>
        <w:jc w:val="both"/>
        <w:rPr>
          <w:rFonts w:ascii="Arial" w:hAnsi="Arial" w:cs="Arial"/>
          <w:lang w:val="mn-MN"/>
        </w:rPr>
      </w:pPr>
    </w:p>
    <w:p w14:paraId="5583384D" w14:textId="77777777" w:rsidR="00141588" w:rsidRPr="00A37629" w:rsidRDefault="00141588" w:rsidP="00141588">
      <w:pPr>
        <w:pStyle w:val="NoSpacing"/>
        <w:spacing w:line="360" w:lineRule="auto"/>
        <w:ind w:firstLine="720"/>
        <w:jc w:val="both"/>
        <w:rPr>
          <w:rFonts w:ascii="Arial" w:hAnsi="Arial" w:cs="Arial"/>
          <w:b/>
          <w:bCs/>
          <w:lang w:val="mn-MN"/>
        </w:rPr>
      </w:pPr>
      <w:r w:rsidRPr="00A37629">
        <w:rPr>
          <w:rFonts w:ascii="Arial" w:hAnsi="Arial" w:cs="Arial"/>
          <w:b/>
          <w:bCs/>
          <w:lang w:val="mn-MN"/>
        </w:rPr>
        <w:t xml:space="preserve">8. Эрүүгийн хэрэг хянан шийдвэрлэх ажиллагаатай холбоотой нөхцөлд дүн шинжилгээ хийх </w:t>
      </w:r>
    </w:p>
    <w:p w14:paraId="2613D823"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Өмгөөлөгч Одын гаргасан: Осорын нас барсан шалтгааны талаарх шинжээчийн дүгнэлт бүрэн  бус, шинжилгээ хийлгэж байгаа асуудалтай холбоотой шинэ нөхцөл байдал бий болсон тул дахин шинжилгээ болон нэмэлт мөрдөн шалгах ажиллагаа хийлгүүлэхээр шүүгдэгч Дөлд холбогдох хэргийг прокурорт буцаалгах тухай гомдлыг шүүхээс хангах үндэслэлгүй гэж үзнэ. Учир нь:</w:t>
      </w:r>
    </w:p>
    <w:p w14:paraId="62577B59"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хэрэг хянан шийдвэрлэх тухай хуулийн 33.1 дүгээр зүйлийн 1, 6 дахь хэсэг, 33.3 дугаар зүйлд заасан үндэслэл, журмын дагуу өмгөөлөгч нь хэргийг прокурорт буцаалгах талаарх үндэслэл бүхий гомдол, хүсэлтээ зөвхөн урьдчилсан хэлэлцүүлгийн шатанд буюу яллагдагчийг шүүхэд шилжүүлэх тухай шүүгчийн захирамж гарахаас өмнө тухайн шүүхэд гаргахаар хуульчлагдсан бөгөөд шүүх хуралдаанаас хэргийг прокурорт буцаах тухай зохицуулалт байхгүй болно.     </w:t>
      </w:r>
    </w:p>
    <w:p w14:paraId="5123EDD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Өмгөөлөгч нэгэнт Эрүүгийн хэрэг хянан шийдвэрлэх тухай хуулийн:</w:t>
      </w:r>
    </w:p>
    <w:p w14:paraId="6A68D34E"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33.1 дүгээр зүйлийн 6 дахь хэсгийн 6.10-д зааснаар урьдчилсан хэлэлцүүлэгт: “шүүх хуралдаанд дуудах...шинжээчийн...талаарх талууд, оролцогч нар санал, хүсэлт гаргах; </w:t>
      </w:r>
    </w:p>
    <w:p w14:paraId="527F54FD"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35.20 дугаар зүйлийн 1 дэх хэсэг: Энэ хуульд заасан мөрдөн шалгах ажиллагааны дүнг тухайн ажиллагааны тэмдэглэлтэй танилцах,...оролцсон шинжээчийг дуудаж мэдүүлэг авах байдлаар шинжлэн судална; </w:t>
      </w:r>
    </w:p>
    <w:p w14:paraId="79EC5F33"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35.21 дүгээр зүйлийн 2 дахь хэсэг: “Шинжээч гаргасан дүгнэлтээ уншиж сонсгосны дараа түүнийг тайлбарлуулах, тодруулах зорилгоор талууд шинжээчид асуулт тавьж, нэмэлт шинжилгээ хийлгэх тухай хүсэлт шүүхэд гаргах” гэх зэрэг Эрүүгийн хэрэг хянан шийдвэрлэх тухай хуульд тусгайлан заасан эрх, чиг үүргээ хэрэгжүүлэх боломжоо алдсан байх тул шүүхээс эрүүгийн хавтаст хэрэгт цугларч, шинжлэгдсэн нотлох баримтын хүрээнд Дөлд холбогдох гэмт хэргийг гэм буруугийн хуралдаанаар хянаж, эцэслэн шийдвэрлэнэ.     </w:t>
      </w:r>
    </w:p>
    <w:p w14:paraId="7C0D19F1"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Харин шүүх нь Эрүүгийн хэрэг хянан шийдвэрлэх тухай хуулийн 34.16 дугаар зүйлийн 5, 6 дахь хэсэгт зааснаар: Шүүх хуралдааны явцад нотлох баримтаар тогтоогдсон хэргийн нөхцөл байдлыг үндэслэн...энэ хуулийн 33.1 дүгээр зүйлийн 6.13 (нотлох баримт цуглуулж, бэхжүүлэх </w:t>
      </w:r>
      <w:r w:rsidRPr="00A37629">
        <w:rPr>
          <w:rFonts w:ascii="Arial" w:hAnsi="Arial" w:cs="Arial"/>
          <w:lang w:val="mn-MN"/>
        </w:rPr>
        <w:lastRenderedPageBreak/>
        <w:t xml:space="preserve">талаар энэ хуульд заасан журам зөрчигдсөн тухай)-т хамаарч болох гомдлыг шийдвэрлэх зорилгоор хэргийг хянан хэлэлцэхийг хойшлуулж, өмгөөлөгчийн гомдол дахь шинжээчийн дүгнэлтийн талаарх асуудлыг шийдвэрлэх...ажиллагаа явуулахыг прокурорт даалгаж болох ба энэ нь шүүхийн эрх хэмжээнд хамаарна.  </w:t>
      </w:r>
    </w:p>
    <w:p w14:paraId="1DA91A7B"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Тодруулбал, Эрүүгийн хэрэг хянан шийдвэрлэх тухай хуулийн 1.7 дугаар зүйлийн 1, 2, 7.2 дугаар зүйлийн 1 дэх хэсэгт зааснаар: Прокурор, мөрдөгч нь хэргийн бодит байдал буюу яллах ба цагаатгах нөхцөл байдлыг эргэлзээгүй тогтоох үүрэгтэй, хэрэв хэргийн бодит байдлыг тогтоох хүрээнд тусгай мэдлэгийн шинжээчийн дүгнэлтийг цуглуулахдаа бүрэн бус, зөрүүтэй нөхцөл байдал үүсгэсэн зэрэг байдлыг шалгахгүй орхигдуулсан бол шүүхээс прокурорт даалгавар өгөх замаар дээрх зөрчлийг арилгуулж болохыг үгүйсгэхгүй юм.   </w:t>
      </w:r>
    </w:p>
    <w:p w14:paraId="7B6991C2"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Гэхдээ шүүх нь дээрх зохицуулалтын дагуу прокурорт даалгах эсэх асуудлыг шийдвэрлэхийн тулд Эрүүгийн хэрэг хянан шийдвэрлэх тухай хуульд заасан дараах үндэслэл, журмыг баримтална. Тухайлбал: </w:t>
      </w:r>
    </w:p>
    <w:p w14:paraId="1C09BEB5"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Эрүүгийн хэрэг хянан шийдвэрлэх тухай хуулийн 16.5 дугаар зүйлийн 4 дэх хэсэгт заасан “Шинжээчийн дүгнэлтийг шүүх, прокурор, өмгөөлөгч...хэрэг хянан шийдвэрлэх ажиллагаанд баримтлах үүрэггүй боловч дүгнэлтийг зөвшөөрөхгүй байгаа бол үндэслэлийг заана” гэсэн зохицуулалтын хүрээнд талуудын дүгнэлтийг харьцуулан шалгаж, улмаар хууль зүйн дүгнэлт хийсний эцэст үндэслэл бүхий шийдвэр гаргана. </w:t>
      </w:r>
    </w:p>
    <w:p w14:paraId="3CE5E9B7"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Энэ хүрээнд өмгөөлөгчийн гаргасан “Осорын нас барсан шалтгааны талаарх шинжээчийн дүгнэлт бүрэн  бус, шинжилгээ хийлгэж байгаа асуудалтай холбоотой шинэ нөхцөл байдал бий болсон тул дахин шинжилгээ хийлгүүлэх” тухай гомдол нь үндэслэлгүй байгааг анхаарах шаардлагатай. Учир нь, Шүүх шинжилгээний тухай хуулийн 27 дугаар зүйлийн 27.1.”Шинжээчийн дүгнэлт бүрэн бус, эсхүл шинжилгээ хийлгэж байгаа асуудалтай холбоотой шинэ нөхцөл байдал бий болсон тохиолдолд...нэмэлт шинжилгээ хийнэ.”; 28 дугаар зүйлийн 28.1.”Шинжээчийн дүгнэлт, түүний зарим хэсэг үндэслэлгүй, эсхүл үндэслэлтэй эсэх нь эргэлзээтэй байвал...дахин шинжилгээ хийнэ.” гэж заасан. </w:t>
      </w:r>
    </w:p>
    <w:p w14:paraId="5B43E1A7"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Хэрэв шүүх нь Эрүүгийн хэрэг хянан шийдвэрлэх тухай хуулийн 27.8 дугаар зүйлийн 1 дэх хэсэгт заасан үндэслэл, журмын дагуу шинжээчийн дүгнэлтэд нэмэлт эсхүл дахин шинжилгээ хийлгүүлэх үндэслэлтэй гэж үзвэл энэ тухай шийдвэр гарган, тус ажиллагааг хийж гүйцэтгэхийг прокурорт даалган шийдвэрлэж болно.        </w:t>
      </w:r>
    </w:p>
    <w:p w14:paraId="62A8E40A" w14:textId="560EA39B" w:rsidR="00141588" w:rsidRDefault="00141588" w:rsidP="00A37629">
      <w:pPr>
        <w:pStyle w:val="NoSpacing"/>
        <w:spacing w:line="360" w:lineRule="auto"/>
        <w:ind w:firstLine="720"/>
        <w:jc w:val="both"/>
        <w:rPr>
          <w:rFonts w:ascii="Arial" w:hAnsi="Arial" w:cs="Arial"/>
          <w:lang w:val="mn-MN"/>
        </w:rPr>
      </w:pPr>
      <w:r w:rsidRPr="00A37629">
        <w:rPr>
          <w:rFonts w:ascii="Arial" w:hAnsi="Arial" w:cs="Arial"/>
          <w:lang w:val="mn-MN"/>
        </w:rPr>
        <w:t xml:space="preserve">Харин өмгөөлөгчийн “...нэмэлт мөрдөн шалгах ажиллагаа хийлгүүлэх...” тухай гомдол нь өмнө дурдсанчлан гэм буруугийн шүүх хуралдаанаас хэргийг прокурорт буцаах үндэслэл болохгүйгээс гадна Эрүүгийн хэрэг хянан шийдвэрлэх тухай хуулийн 34.16 дугаар зүйлийн 5, 6 дахь хэсэгт зааснаар шүүх хуралдааныг хойшлуулж, прокурорт даалгаж болох үндэслэл, журамд хамаарахгүй болохыг дурдах нь зүйтэй.  </w:t>
      </w:r>
    </w:p>
    <w:p w14:paraId="2A3052ED" w14:textId="77777777" w:rsidR="00A37629" w:rsidRDefault="00A37629" w:rsidP="00A37629">
      <w:pPr>
        <w:pStyle w:val="NoSpacing"/>
        <w:spacing w:line="360" w:lineRule="auto"/>
        <w:ind w:firstLine="720"/>
        <w:jc w:val="both"/>
        <w:rPr>
          <w:rFonts w:ascii="Arial" w:hAnsi="Arial" w:cs="Arial"/>
          <w:lang w:val="mn-MN"/>
        </w:rPr>
      </w:pPr>
    </w:p>
    <w:p w14:paraId="1F568A0D" w14:textId="77777777" w:rsidR="00A37629" w:rsidRDefault="00A37629" w:rsidP="00A37629">
      <w:pPr>
        <w:pStyle w:val="NoSpacing"/>
        <w:spacing w:line="360" w:lineRule="auto"/>
        <w:ind w:firstLine="720"/>
        <w:jc w:val="both"/>
        <w:rPr>
          <w:rFonts w:ascii="Arial" w:hAnsi="Arial" w:cs="Arial"/>
          <w:lang w:val="mn-MN"/>
        </w:rPr>
      </w:pPr>
    </w:p>
    <w:p w14:paraId="10DC3E55" w14:textId="77777777" w:rsidR="00A37629" w:rsidRDefault="00A37629" w:rsidP="00A37629">
      <w:pPr>
        <w:pStyle w:val="NoSpacing"/>
        <w:spacing w:line="360" w:lineRule="auto"/>
        <w:ind w:firstLine="720"/>
        <w:jc w:val="both"/>
        <w:rPr>
          <w:rFonts w:ascii="Arial" w:hAnsi="Arial" w:cs="Arial"/>
          <w:lang w:val="mn-MN"/>
        </w:rPr>
      </w:pPr>
    </w:p>
    <w:p w14:paraId="5337AC65" w14:textId="77777777" w:rsidR="00A37629" w:rsidRDefault="00A37629" w:rsidP="00A37629">
      <w:pPr>
        <w:pStyle w:val="NoSpacing"/>
        <w:spacing w:line="360" w:lineRule="auto"/>
        <w:ind w:firstLine="720"/>
        <w:jc w:val="both"/>
        <w:rPr>
          <w:rFonts w:ascii="Arial" w:hAnsi="Arial" w:cs="Arial"/>
          <w:lang w:val="mn-MN"/>
        </w:rPr>
      </w:pPr>
    </w:p>
    <w:p w14:paraId="5ED35D2F" w14:textId="77777777" w:rsidR="00A37629" w:rsidRDefault="00A37629" w:rsidP="00A37629">
      <w:pPr>
        <w:pStyle w:val="NoSpacing"/>
        <w:spacing w:line="360" w:lineRule="auto"/>
        <w:ind w:firstLine="720"/>
        <w:jc w:val="both"/>
        <w:rPr>
          <w:rFonts w:ascii="Arial" w:hAnsi="Arial" w:cs="Arial"/>
          <w:lang w:val="mn-MN"/>
        </w:rPr>
      </w:pPr>
    </w:p>
    <w:p w14:paraId="4806F9DE" w14:textId="77777777" w:rsidR="00A37629" w:rsidRPr="00A37629" w:rsidRDefault="00A37629" w:rsidP="00A37629">
      <w:pPr>
        <w:pStyle w:val="NoSpacing"/>
        <w:spacing w:line="360" w:lineRule="auto"/>
        <w:ind w:firstLine="720"/>
        <w:jc w:val="both"/>
        <w:rPr>
          <w:rFonts w:ascii="Arial" w:hAnsi="Arial" w:cs="Arial"/>
          <w:lang w:val="mn-MN"/>
        </w:rPr>
      </w:pPr>
    </w:p>
    <w:p w14:paraId="737F9911" w14:textId="77777777" w:rsidR="00A37629" w:rsidRPr="00A37629" w:rsidRDefault="00A37629" w:rsidP="00A37629">
      <w:pPr>
        <w:ind w:left="-284" w:firstLine="284"/>
        <w:jc w:val="center"/>
        <w:rPr>
          <w:rFonts w:ascii="Arial" w:hAnsi="Arial" w:cs="Arial"/>
          <w:b/>
          <w:bCs/>
        </w:rPr>
      </w:pPr>
      <w:r w:rsidRPr="00A37629">
        <w:rPr>
          <w:rFonts w:ascii="Arial" w:hAnsi="Arial" w:cs="Arial"/>
          <w:b/>
          <w:bCs/>
          <w:lang w:val="mn-MN"/>
        </w:rPr>
        <w:t xml:space="preserve">ОНООНЫ ХУВААРИЛАЛТ </w:t>
      </w:r>
    </w:p>
    <w:tbl>
      <w:tblPr>
        <w:tblStyle w:val="TableGrid"/>
        <w:tblW w:w="9214" w:type="dxa"/>
        <w:tblInd w:w="-5" w:type="dxa"/>
        <w:tblLook w:val="04A0" w:firstRow="1" w:lastRow="0" w:firstColumn="1" w:lastColumn="0" w:noHBand="0" w:noVBand="1"/>
      </w:tblPr>
      <w:tblGrid>
        <w:gridCol w:w="993"/>
        <w:gridCol w:w="6378"/>
        <w:gridCol w:w="1843"/>
      </w:tblGrid>
      <w:tr w:rsidR="00A37629" w:rsidRPr="00A37629" w14:paraId="181E6934" w14:textId="77777777" w:rsidTr="00A37629">
        <w:tc>
          <w:tcPr>
            <w:tcW w:w="993" w:type="dxa"/>
            <w:shd w:val="clear" w:color="auto" w:fill="D5DCE4" w:themeFill="text2" w:themeFillTint="33"/>
          </w:tcPr>
          <w:p w14:paraId="01201937" w14:textId="77777777" w:rsidR="00A37629" w:rsidRPr="00A37629" w:rsidRDefault="00A37629" w:rsidP="00F80483">
            <w:pPr>
              <w:spacing w:after="160" w:line="259" w:lineRule="auto"/>
              <w:ind w:left="-284" w:firstLine="284"/>
              <w:jc w:val="center"/>
              <w:rPr>
                <w:rFonts w:ascii="Arial" w:hAnsi="Arial" w:cs="Arial"/>
                <w:b/>
                <w:bCs/>
                <w:lang w:val="mn-MN"/>
              </w:rPr>
            </w:pPr>
          </w:p>
          <w:p w14:paraId="47740628" w14:textId="77777777" w:rsidR="00A37629" w:rsidRPr="00A37629" w:rsidRDefault="00A37629" w:rsidP="00F80483">
            <w:pPr>
              <w:spacing w:after="160" w:line="259" w:lineRule="auto"/>
              <w:ind w:left="-284" w:firstLine="284"/>
              <w:jc w:val="center"/>
              <w:rPr>
                <w:rFonts w:ascii="Arial" w:hAnsi="Arial" w:cs="Arial"/>
                <w:b/>
                <w:bCs/>
                <w:lang w:val="mn-MN"/>
              </w:rPr>
            </w:pPr>
            <w:r w:rsidRPr="00A37629">
              <w:rPr>
                <w:rFonts w:ascii="Arial" w:hAnsi="Arial" w:cs="Arial"/>
                <w:b/>
                <w:bCs/>
                <w:lang w:val="mn-MN"/>
              </w:rPr>
              <w:t>Д/д</w:t>
            </w:r>
          </w:p>
        </w:tc>
        <w:tc>
          <w:tcPr>
            <w:tcW w:w="6378" w:type="dxa"/>
            <w:shd w:val="clear" w:color="auto" w:fill="D5DCE4" w:themeFill="text2" w:themeFillTint="33"/>
          </w:tcPr>
          <w:p w14:paraId="491D08B2" w14:textId="77777777" w:rsidR="00A37629" w:rsidRPr="00A37629" w:rsidRDefault="00A37629" w:rsidP="00F80483">
            <w:pPr>
              <w:spacing w:after="160" w:line="259" w:lineRule="auto"/>
              <w:ind w:left="-284" w:firstLine="284"/>
              <w:jc w:val="center"/>
              <w:rPr>
                <w:rFonts w:ascii="Arial" w:hAnsi="Arial" w:cs="Arial"/>
                <w:b/>
                <w:bCs/>
                <w:lang w:val="mn-MN"/>
              </w:rPr>
            </w:pPr>
          </w:p>
          <w:p w14:paraId="79E363A3" w14:textId="77777777" w:rsidR="00A37629" w:rsidRPr="00A37629" w:rsidRDefault="00A37629" w:rsidP="00F80483">
            <w:pPr>
              <w:spacing w:after="160" w:line="259" w:lineRule="auto"/>
              <w:ind w:left="-284" w:firstLine="284"/>
              <w:jc w:val="center"/>
              <w:rPr>
                <w:rFonts w:ascii="Arial" w:hAnsi="Arial" w:cs="Arial"/>
                <w:b/>
                <w:bCs/>
                <w:lang w:val="mn-MN"/>
              </w:rPr>
            </w:pPr>
            <w:r w:rsidRPr="00A37629">
              <w:rPr>
                <w:rFonts w:ascii="Arial" w:hAnsi="Arial" w:cs="Arial"/>
                <w:b/>
                <w:bCs/>
                <w:lang w:val="mn-MN"/>
              </w:rPr>
              <w:t>Шалгаж, үндэслэл бүхий дүгнэлт хийх үндсэн асуудлууд</w:t>
            </w:r>
          </w:p>
        </w:tc>
        <w:tc>
          <w:tcPr>
            <w:tcW w:w="1843" w:type="dxa"/>
            <w:shd w:val="clear" w:color="auto" w:fill="D5DCE4" w:themeFill="text2" w:themeFillTint="33"/>
          </w:tcPr>
          <w:p w14:paraId="23724F4A" w14:textId="77777777" w:rsidR="00A37629" w:rsidRPr="00A37629" w:rsidRDefault="00A37629" w:rsidP="00F80483">
            <w:pPr>
              <w:spacing w:after="160" w:line="259" w:lineRule="auto"/>
              <w:ind w:left="-284" w:firstLine="284"/>
              <w:jc w:val="center"/>
              <w:rPr>
                <w:rFonts w:ascii="Arial" w:hAnsi="Arial" w:cs="Arial"/>
                <w:b/>
                <w:bCs/>
                <w:lang w:val="mn-MN"/>
              </w:rPr>
            </w:pPr>
          </w:p>
          <w:p w14:paraId="73589316" w14:textId="77777777" w:rsidR="00A37629" w:rsidRPr="00A37629" w:rsidRDefault="00A37629" w:rsidP="00F80483">
            <w:pPr>
              <w:spacing w:after="160" w:line="259" w:lineRule="auto"/>
              <w:ind w:left="-284" w:firstLine="284"/>
              <w:jc w:val="center"/>
              <w:rPr>
                <w:rFonts w:ascii="Arial" w:hAnsi="Arial" w:cs="Arial"/>
                <w:b/>
                <w:bCs/>
                <w:lang w:val="mn-MN"/>
              </w:rPr>
            </w:pPr>
            <w:r w:rsidRPr="00A37629">
              <w:rPr>
                <w:rFonts w:ascii="Arial" w:hAnsi="Arial" w:cs="Arial"/>
                <w:b/>
                <w:bCs/>
                <w:lang w:val="mn-MN"/>
              </w:rPr>
              <w:t>Оноо</w:t>
            </w:r>
          </w:p>
        </w:tc>
      </w:tr>
      <w:tr w:rsidR="00A37629" w:rsidRPr="00A37629" w14:paraId="4FD31481" w14:textId="77777777" w:rsidTr="00A37629">
        <w:tc>
          <w:tcPr>
            <w:tcW w:w="993" w:type="dxa"/>
          </w:tcPr>
          <w:p w14:paraId="36BD1DC9" w14:textId="5051F35F" w:rsidR="00A37629" w:rsidRPr="00A37629" w:rsidRDefault="00A37629" w:rsidP="00A37629">
            <w:pPr>
              <w:pStyle w:val="ListParagraph"/>
              <w:numPr>
                <w:ilvl w:val="0"/>
                <w:numId w:val="3"/>
              </w:numPr>
              <w:jc w:val="center"/>
              <w:rPr>
                <w:rFonts w:ascii="Arial" w:hAnsi="Arial" w:cs="Arial"/>
                <w:b/>
                <w:bCs/>
                <w:lang w:val="mn-MN"/>
              </w:rPr>
            </w:pPr>
          </w:p>
        </w:tc>
        <w:tc>
          <w:tcPr>
            <w:tcW w:w="6378" w:type="dxa"/>
          </w:tcPr>
          <w:p w14:paraId="173C5E10" w14:textId="77777777" w:rsidR="00A37629" w:rsidRPr="00A37629" w:rsidRDefault="00A37629" w:rsidP="00F80483">
            <w:pPr>
              <w:spacing w:after="160" w:line="259" w:lineRule="auto"/>
              <w:jc w:val="both"/>
              <w:rPr>
                <w:rFonts w:ascii="Arial" w:hAnsi="Arial" w:cs="Arial"/>
                <w:lang w:val="mn-MN"/>
              </w:rPr>
            </w:pPr>
            <w:r w:rsidRPr="00A37629">
              <w:rPr>
                <w:rFonts w:ascii="Arial" w:hAnsi="Arial" w:cs="Arial"/>
                <w:lang w:val="mn-MN"/>
              </w:rPr>
              <w:t xml:space="preserve">Гэмт хэргийн шинжийг тодорхойлж, зүйлчлэл хийсэн хууль зүйн дүгнэлт, хууль хэрэглээ </w:t>
            </w:r>
          </w:p>
        </w:tc>
        <w:tc>
          <w:tcPr>
            <w:tcW w:w="1843" w:type="dxa"/>
            <w:vAlign w:val="center"/>
          </w:tcPr>
          <w:p w14:paraId="01F13B65" w14:textId="77777777" w:rsidR="00A37629" w:rsidRPr="00A37629" w:rsidRDefault="00A37629" w:rsidP="00A37629">
            <w:pPr>
              <w:spacing w:after="160" w:line="259" w:lineRule="auto"/>
              <w:ind w:left="-284" w:firstLine="284"/>
              <w:jc w:val="center"/>
              <w:rPr>
                <w:rFonts w:ascii="Arial" w:hAnsi="Arial" w:cs="Arial"/>
                <w:lang w:val="mn-MN"/>
              </w:rPr>
            </w:pPr>
          </w:p>
          <w:p w14:paraId="1E805248" w14:textId="77777777" w:rsidR="00A37629" w:rsidRPr="00A37629" w:rsidRDefault="00A37629" w:rsidP="00A37629">
            <w:pPr>
              <w:spacing w:after="160" w:line="259" w:lineRule="auto"/>
              <w:ind w:left="-284" w:firstLine="284"/>
              <w:jc w:val="center"/>
              <w:rPr>
                <w:rFonts w:ascii="Arial" w:hAnsi="Arial" w:cs="Arial"/>
                <w:lang w:val="mn-MN"/>
              </w:rPr>
            </w:pPr>
            <w:r w:rsidRPr="00A37629">
              <w:rPr>
                <w:rFonts w:ascii="Arial" w:hAnsi="Arial" w:cs="Arial"/>
                <w:lang w:val="mn-MN"/>
              </w:rPr>
              <w:t>0-10</w:t>
            </w:r>
          </w:p>
        </w:tc>
      </w:tr>
      <w:tr w:rsidR="00A37629" w:rsidRPr="00A37629" w14:paraId="3598A0C8" w14:textId="77777777" w:rsidTr="00A37629">
        <w:tc>
          <w:tcPr>
            <w:tcW w:w="993" w:type="dxa"/>
          </w:tcPr>
          <w:p w14:paraId="2C2549D0" w14:textId="72F275B3" w:rsidR="00A37629" w:rsidRPr="00A37629" w:rsidRDefault="00A37629" w:rsidP="00A37629">
            <w:pPr>
              <w:pStyle w:val="ListParagraph"/>
              <w:numPr>
                <w:ilvl w:val="0"/>
                <w:numId w:val="3"/>
              </w:numPr>
              <w:jc w:val="center"/>
              <w:rPr>
                <w:rFonts w:ascii="Arial" w:hAnsi="Arial" w:cs="Arial"/>
                <w:b/>
                <w:bCs/>
                <w:lang w:val="mn-MN"/>
              </w:rPr>
            </w:pPr>
          </w:p>
        </w:tc>
        <w:tc>
          <w:tcPr>
            <w:tcW w:w="6378" w:type="dxa"/>
          </w:tcPr>
          <w:p w14:paraId="2D8D7CC4" w14:textId="77777777" w:rsidR="00A37629" w:rsidRPr="00A37629" w:rsidRDefault="00A37629" w:rsidP="00F80483">
            <w:pPr>
              <w:spacing w:after="160" w:line="259" w:lineRule="auto"/>
              <w:ind w:left="20"/>
              <w:rPr>
                <w:rFonts w:ascii="Arial" w:hAnsi="Arial" w:cs="Arial"/>
                <w:lang w:val="mn-MN"/>
              </w:rPr>
            </w:pPr>
            <w:r w:rsidRPr="00A37629">
              <w:rPr>
                <w:rFonts w:ascii="Arial" w:hAnsi="Arial" w:cs="Arial"/>
                <w:lang w:val="mn-MN"/>
              </w:rPr>
              <w:t xml:space="preserve">Эрүүгийн хариуцлага хүлээлгэх нийтлэг үндэслэл, журам болон гэмт хэрэг үйлдэх үедээ 18 нас хүрээгүй, харин хэргийг хянан шийдвэрлэх үед насанд хүрсэн этгээдэд Эрүүгийн хариуцлага хүлээлгэх, чөлөөлөх, тэнсэх үндэслэл, журмыг хэрэглэх талаарх дүгнэлт, хууль хэрэглээ   </w:t>
            </w:r>
          </w:p>
        </w:tc>
        <w:tc>
          <w:tcPr>
            <w:tcW w:w="1843" w:type="dxa"/>
            <w:vAlign w:val="center"/>
          </w:tcPr>
          <w:p w14:paraId="27F83AA1" w14:textId="77777777" w:rsidR="00A37629" w:rsidRPr="00A37629" w:rsidRDefault="00A37629" w:rsidP="00A37629">
            <w:pPr>
              <w:spacing w:after="160" w:line="259" w:lineRule="auto"/>
              <w:ind w:left="-284" w:firstLine="284"/>
              <w:jc w:val="center"/>
              <w:rPr>
                <w:rFonts w:ascii="Arial" w:hAnsi="Arial" w:cs="Arial"/>
                <w:lang w:val="mn-MN"/>
              </w:rPr>
            </w:pPr>
          </w:p>
          <w:p w14:paraId="78EDFAA4" w14:textId="3C54AAC3" w:rsidR="00A37629" w:rsidRPr="00A37629" w:rsidRDefault="00A37629" w:rsidP="00A37629">
            <w:pPr>
              <w:spacing w:after="160" w:line="259" w:lineRule="auto"/>
              <w:ind w:left="-284" w:firstLine="284"/>
              <w:jc w:val="center"/>
              <w:rPr>
                <w:rFonts w:ascii="Arial" w:hAnsi="Arial" w:cs="Arial"/>
                <w:lang w:val="mn-MN"/>
              </w:rPr>
            </w:pPr>
            <w:r w:rsidRPr="00A37629">
              <w:rPr>
                <w:rFonts w:ascii="Arial" w:hAnsi="Arial" w:cs="Arial"/>
                <w:lang w:val="mn-MN"/>
              </w:rPr>
              <w:t>0-4</w:t>
            </w:r>
          </w:p>
        </w:tc>
      </w:tr>
      <w:tr w:rsidR="00A37629" w:rsidRPr="00A37629" w14:paraId="69DE4D42" w14:textId="77777777" w:rsidTr="00A37629">
        <w:tc>
          <w:tcPr>
            <w:tcW w:w="993" w:type="dxa"/>
          </w:tcPr>
          <w:p w14:paraId="20360142" w14:textId="5A9A4D56" w:rsidR="00A37629" w:rsidRPr="00A37629" w:rsidRDefault="00A37629" w:rsidP="00A37629">
            <w:pPr>
              <w:pStyle w:val="ListParagraph"/>
              <w:numPr>
                <w:ilvl w:val="0"/>
                <w:numId w:val="3"/>
              </w:numPr>
              <w:jc w:val="center"/>
              <w:rPr>
                <w:rFonts w:ascii="Arial" w:hAnsi="Arial" w:cs="Arial"/>
                <w:b/>
                <w:bCs/>
                <w:lang w:val="mn-MN"/>
              </w:rPr>
            </w:pPr>
          </w:p>
        </w:tc>
        <w:tc>
          <w:tcPr>
            <w:tcW w:w="6378" w:type="dxa"/>
          </w:tcPr>
          <w:p w14:paraId="52DB06BC" w14:textId="77777777" w:rsidR="00A37629" w:rsidRPr="00A37629" w:rsidRDefault="00A37629" w:rsidP="00F80483">
            <w:pPr>
              <w:spacing w:line="259" w:lineRule="auto"/>
              <w:ind w:left="-284" w:firstLine="284"/>
              <w:jc w:val="both"/>
              <w:rPr>
                <w:rFonts w:ascii="Arial" w:hAnsi="Arial" w:cs="Arial"/>
                <w:lang w:val="mn-MN"/>
              </w:rPr>
            </w:pPr>
            <w:r w:rsidRPr="00A37629">
              <w:rPr>
                <w:rFonts w:ascii="Arial" w:hAnsi="Arial" w:cs="Arial"/>
                <w:lang w:val="mn-MN"/>
              </w:rPr>
              <w:t xml:space="preserve">Хохирол, хор уршиг, эд хөрөнгө хураах болон </w:t>
            </w:r>
          </w:p>
          <w:p w14:paraId="379E3842" w14:textId="77777777" w:rsidR="00A37629" w:rsidRPr="00A37629" w:rsidRDefault="00A37629" w:rsidP="00F80483">
            <w:pPr>
              <w:spacing w:line="259" w:lineRule="auto"/>
              <w:ind w:left="-284" w:firstLine="284"/>
              <w:jc w:val="both"/>
              <w:rPr>
                <w:rFonts w:ascii="Arial" w:hAnsi="Arial" w:cs="Arial"/>
                <w:lang w:val="mn-MN"/>
              </w:rPr>
            </w:pPr>
            <w:r w:rsidRPr="00A37629">
              <w:rPr>
                <w:rFonts w:ascii="Arial" w:hAnsi="Arial" w:cs="Arial"/>
                <w:lang w:val="mn-MN"/>
              </w:rPr>
              <w:t xml:space="preserve">Эрүүгийн хэрэг хянан шийдвэрлэх ажиллагаатай холбоотой </w:t>
            </w:r>
          </w:p>
          <w:p w14:paraId="4BE10D46" w14:textId="77777777" w:rsidR="00A37629" w:rsidRPr="00A37629" w:rsidRDefault="00A37629" w:rsidP="00F80483">
            <w:pPr>
              <w:spacing w:line="259" w:lineRule="auto"/>
              <w:ind w:left="-284" w:firstLine="284"/>
              <w:jc w:val="both"/>
              <w:rPr>
                <w:rFonts w:ascii="Arial" w:hAnsi="Arial" w:cs="Arial"/>
                <w:lang w:val="mn-MN"/>
              </w:rPr>
            </w:pPr>
            <w:r w:rsidRPr="00A37629">
              <w:rPr>
                <w:rFonts w:ascii="Arial" w:hAnsi="Arial" w:cs="Arial"/>
                <w:lang w:val="mn-MN"/>
              </w:rPr>
              <w:t xml:space="preserve">асуудал шийдвэрлэх </w:t>
            </w:r>
          </w:p>
        </w:tc>
        <w:tc>
          <w:tcPr>
            <w:tcW w:w="1843" w:type="dxa"/>
            <w:vAlign w:val="center"/>
          </w:tcPr>
          <w:p w14:paraId="13C71358" w14:textId="77777777" w:rsidR="00A37629" w:rsidRPr="00A37629" w:rsidRDefault="00A37629" w:rsidP="00A37629">
            <w:pPr>
              <w:spacing w:after="160" w:line="259" w:lineRule="auto"/>
              <w:ind w:left="-284" w:firstLine="284"/>
              <w:jc w:val="center"/>
              <w:rPr>
                <w:rFonts w:ascii="Arial" w:hAnsi="Arial" w:cs="Arial"/>
                <w:lang w:val="mn-MN"/>
              </w:rPr>
            </w:pPr>
          </w:p>
          <w:p w14:paraId="573DD36F" w14:textId="1727C911" w:rsidR="00A37629" w:rsidRPr="00A37629" w:rsidRDefault="00A37629" w:rsidP="00A37629">
            <w:pPr>
              <w:spacing w:after="160" w:line="259" w:lineRule="auto"/>
              <w:ind w:left="-284" w:firstLine="284"/>
              <w:jc w:val="center"/>
              <w:rPr>
                <w:rFonts w:ascii="Arial" w:hAnsi="Arial" w:cs="Arial"/>
                <w:lang w:val="mn-MN"/>
              </w:rPr>
            </w:pPr>
            <w:r w:rsidRPr="00A37629">
              <w:rPr>
                <w:rFonts w:ascii="Arial" w:hAnsi="Arial" w:cs="Arial"/>
                <w:lang w:val="mn-MN"/>
              </w:rPr>
              <w:t>0-4</w:t>
            </w:r>
          </w:p>
        </w:tc>
      </w:tr>
      <w:tr w:rsidR="00A37629" w:rsidRPr="00A37629" w14:paraId="088D4B54" w14:textId="77777777" w:rsidTr="00A37629">
        <w:tc>
          <w:tcPr>
            <w:tcW w:w="993" w:type="dxa"/>
          </w:tcPr>
          <w:p w14:paraId="08E247EC" w14:textId="6C95B913" w:rsidR="00A37629" w:rsidRPr="00A37629" w:rsidRDefault="00A37629" w:rsidP="00A37629">
            <w:pPr>
              <w:pStyle w:val="ListParagraph"/>
              <w:numPr>
                <w:ilvl w:val="0"/>
                <w:numId w:val="3"/>
              </w:numPr>
              <w:jc w:val="center"/>
              <w:rPr>
                <w:rFonts w:ascii="Arial" w:hAnsi="Arial" w:cs="Arial"/>
                <w:b/>
                <w:bCs/>
                <w:lang w:val="mn-MN"/>
              </w:rPr>
            </w:pPr>
          </w:p>
        </w:tc>
        <w:tc>
          <w:tcPr>
            <w:tcW w:w="6378" w:type="dxa"/>
          </w:tcPr>
          <w:p w14:paraId="6BEDDF34" w14:textId="77777777" w:rsidR="00A37629" w:rsidRPr="00A37629" w:rsidRDefault="00A37629" w:rsidP="00F80483">
            <w:pPr>
              <w:spacing w:after="160" w:line="259" w:lineRule="auto"/>
              <w:jc w:val="both"/>
              <w:rPr>
                <w:rFonts w:ascii="Arial" w:hAnsi="Arial" w:cs="Arial"/>
                <w:lang w:val="mn-MN"/>
              </w:rPr>
            </w:pPr>
            <w:r w:rsidRPr="00A37629">
              <w:rPr>
                <w:rFonts w:ascii="Arial" w:hAnsi="Arial" w:cs="Arial"/>
                <w:lang w:val="mn-MN"/>
              </w:rPr>
              <w:t xml:space="preserve">1-3 дугаарт зааснаас бусад бодлого бодох аргачлал,  алхамын хүрээнд хийсэн дүгнэлт, хууль хэрэглээ       </w:t>
            </w:r>
          </w:p>
        </w:tc>
        <w:tc>
          <w:tcPr>
            <w:tcW w:w="1843" w:type="dxa"/>
            <w:vAlign w:val="center"/>
          </w:tcPr>
          <w:p w14:paraId="4474DD0C" w14:textId="6C595CED" w:rsidR="00A37629" w:rsidRPr="00A37629" w:rsidRDefault="00A37629" w:rsidP="00A37629">
            <w:pPr>
              <w:spacing w:after="160" w:line="259" w:lineRule="auto"/>
              <w:jc w:val="center"/>
              <w:rPr>
                <w:rFonts w:ascii="Arial" w:hAnsi="Arial" w:cs="Arial"/>
                <w:lang w:val="mn-MN"/>
              </w:rPr>
            </w:pPr>
            <w:r w:rsidRPr="00A37629">
              <w:rPr>
                <w:rFonts w:ascii="Arial" w:hAnsi="Arial" w:cs="Arial"/>
                <w:lang w:val="mn-MN"/>
              </w:rPr>
              <w:t>0-2</w:t>
            </w:r>
          </w:p>
        </w:tc>
      </w:tr>
      <w:tr w:rsidR="00A37629" w:rsidRPr="00A37629" w14:paraId="3BC68A11" w14:textId="77777777" w:rsidTr="00A37629">
        <w:tc>
          <w:tcPr>
            <w:tcW w:w="7371" w:type="dxa"/>
            <w:gridSpan w:val="2"/>
            <w:shd w:val="clear" w:color="auto" w:fill="D5DCE4" w:themeFill="text2" w:themeFillTint="33"/>
          </w:tcPr>
          <w:p w14:paraId="506BD402" w14:textId="77777777" w:rsidR="00A37629" w:rsidRDefault="00A37629" w:rsidP="00A37629">
            <w:pPr>
              <w:spacing w:after="160" w:line="259" w:lineRule="auto"/>
              <w:ind w:left="-284" w:firstLine="284"/>
              <w:jc w:val="center"/>
              <w:rPr>
                <w:rFonts w:ascii="Arial" w:hAnsi="Arial" w:cs="Arial"/>
                <w:b/>
                <w:bCs/>
                <w:lang w:val="mn-MN"/>
              </w:rPr>
            </w:pPr>
          </w:p>
          <w:p w14:paraId="714C37E7" w14:textId="4EACA612" w:rsidR="00A37629" w:rsidRPr="00A37629" w:rsidRDefault="00A37629" w:rsidP="00A37629">
            <w:pPr>
              <w:spacing w:after="160" w:line="259" w:lineRule="auto"/>
              <w:ind w:left="-284" w:firstLine="284"/>
              <w:jc w:val="center"/>
              <w:rPr>
                <w:rFonts w:ascii="Arial" w:hAnsi="Arial" w:cs="Arial"/>
                <w:b/>
                <w:bCs/>
                <w:lang w:val="mn-MN"/>
              </w:rPr>
            </w:pPr>
            <w:r w:rsidRPr="00A37629">
              <w:rPr>
                <w:rFonts w:ascii="Arial" w:hAnsi="Arial" w:cs="Arial"/>
                <w:b/>
                <w:bCs/>
                <w:lang w:val="mn-MN"/>
              </w:rPr>
              <w:t>Нийт оноо</w:t>
            </w:r>
          </w:p>
        </w:tc>
        <w:tc>
          <w:tcPr>
            <w:tcW w:w="1843" w:type="dxa"/>
            <w:shd w:val="clear" w:color="auto" w:fill="D5DCE4" w:themeFill="text2" w:themeFillTint="33"/>
            <w:vAlign w:val="center"/>
          </w:tcPr>
          <w:p w14:paraId="140992D4" w14:textId="77777777" w:rsidR="00A37629" w:rsidRPr="00A37629" w:rsidRDefault="00A37629" w:rsidP="00A37629">
            <w:pPr>
              <w:spacing w:after="160" w:line="259" w:lineRule="auto"/>
              <w:ind w:left="-284" w:firstLine="284"/>
              <w:jc w:val="center"/>
              <w:rPr>
                <w:rFonts w:ascii="Arial" w:hAnsi="Arial" w:cs="Arial"/>
                <w:b/>
                <w:bCs/>
                <w:lang w:val="mn-MN"/>
              </w:rPr>
            </w:pPr>
          </w:p>
          <w:p w14:paraId="4E5296DF" w14:textId="3B4EE270" w:rsidR="00A37629" w:rsidRPr="00A37629" w:rsidRDefault="00A37629" w:rsidP="00A37629">
            <w:pPr>
              <w:spacing w:after="160" w:line="259" w:lineRule="auto"/>
              <w:ind w:left="-284" w:firstLine="284"/>
              <w:jc w:val="center"/>
              <w:rPr>
                <w:rFonts w:ascii="Arial" w:hAnsi="Arial" w:cs="Arial"/>
                <w:b/>
                <w:bCs/>
                <w:lang w:val="mn-MN"/>
              </w:rPr>
            </w:pPr>
            <w:r w:rsidRPr="00A37629">
              <w:rPr>
                <w:rFonts w:ascii="Arial" w:hAnsi="Arial" w:cs="Arial"/>
                <w:b/>
                <w:bCs/>
                <w:lang w:val="mn-MN"/>
              </w:rPr>
              <w:t>20</w:t>
            </w:r>
          </w:p>
        </w:tc>
      </w:tr>
    </w:tbl>
    <w:p w14:paraId="044150FE" w14:textId="77777777" w:rsidR="00141588" w:rsidRPr="00A37629" w:rsidRDefault="00141588" w:rsidP="00141588">
      <w:pPr>
        <w:pStyle w:val="NoSpacing"/>
        <w:spacing w:line="360" w:lineRule="auto"/>
        <w:ind w:firstLine="720"/>
        <w:jc w:val="both"/>
        <w:rPr>
          <w:rFonts w:ascii="Arial" w:hAnsi="Arial" w:cs="Arial"/>
          <w:lang w:val="mn-MN"/>
        </w:rPr>
      </w:pPr>
    </w:p>
    <w:p w14:paraId="58CCCF54" w14:textId="77777777" w:rsidR="00141588" w:rsidRPr="00A37629" w:rsidRDefault="00141588" w:rsidP="00141588">
      <w:pPr>
        <w:pStyle w:val="NoSpacing"/>
        <w:spacing w:line="360" w:lineRule="auto"/>
        <w:ind w:firstLine="720"/>
        <w:jc w:val="both"/>
        <w:rPr>
          <w:rFonts w:ascii="Arial" w:hAnsi="Arial" w:cs="Arial"/>
          <w:lang w:val="mn-MN"/>
        </w:rPr>
      </w:pPr>
      <w:r w:rsidRPr="00A37629">
        <w:rPr>
          <w:rFonts w:ascii="Arial" w:hAnsi="Arial" w:cs="Arial"/>
          <w:lang w:val="mn-MN"/>
        </w:rPr>
        <w:t xml:space="preserve">   </w:t>
      </w:r>
    </w:p>
    <w:sectPr w:rsidR="00141588" w:rsidRPr="00A37629" w:rsidSect="00464C26">
      <w:pgSz w:w="11907" w:h="16840" w:code="9"/>
      <w:pgMar w:top="709" w:right="992"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4E49" w14:textId="77777777" w:rsidR="00755C80" w:rsidRDefault="00755C80" w:rsidP="00964B01">
      <w:pPr>
        <w:spacing w:after="0" w:line="240" w:lineRule="auto"/>
      </w:pPr>
      <w:r>
        <w:separator/>
      </w:r>
    </w:p>
  </w:endnote>
  <w:endnote w:type="continuationSeparator" w:id="0">
    <w:p w14:paraId="0F3D973C" w14:textId="77777777" w:rsidR="00755C80" w:rsidRDefault="00755C80" w:rsidP="0096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914F" w14:textId="77777777" w:rsidR="00755C80" w:rsidRDefault="00755C80" w:rsidP="00964B01">
      <w:pPr>
        <w:spacing w:after="0" w:line="240" w:lineRule="auto"/>
      </w:pPr>
      <w:r>
        <w:separator/>
      </w:r>
    </w:p>
  </w:footnote>
  <w:footnote w:type="continuationSeparator" w:id="0">
    <w:p w14:paraId="317FE974" w14:textId="77777777" w:rsidR="00755C80" w:rsidRDefault="00755C80" w:rsidP="00964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65BD"/>
    <w:multiLevelType w:val="hybridMultilevel"/>
    <w:tmpl w:val="574A3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133A7E"/>
    <w:multiLevelType w:val="hybridMultilevel"/>
    <w:tmpl w:val="608AE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367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682297">
    <w:abstractNumId w:val="0"/>
  </w:num>
  <w:num w:numId="3" w16cid:durableId="37631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22"/>
    <w:rsid w:val="00007F1E"/>
    <w:rsid w:val="000314E1"/>
    <w:rsid w:val="0005720A"/>
    <w:rsid w:val="00063745"/>
    <w:rsid w:val="00070460"/>
    <w:rsid w:val="00076D14"/>
    <w:rsid w:val="0009628E"/>
    <w:rsid w:val="00096C13"/>
    <w:rsid w:val="000A65A7"/>
    <w:rsid w:val="000B65E3"/>
    <w:rsid w:val="000C0CCE"/>
    <w:rsid w:val="000C68A9"/>
    <w:rsid w:val="000D4495"/>
    <w:rsid w:val="00116BAC"/>
    <w:rsid w:val="00123D0D"/>
    <w:rsid w:val="00125C39"/>
    <w:rsid w:val="00131914"/>
    <w:rsid w:val="00141588"/>
    <w:rsid w:val="00151EF0"/>
    <w:rsid w:val="0016585F"/>
    <w:rsid w:val="00174231"/>
    <w:rsid w:val="00190BB6"/>
    <w:rsid w:val="00194439"/>
    <w:rsid w:val="001C2FA4"/>
    <w:rsid w:val="001F5CB0"/>
    <w:rsid w:val="00234172"/>
    <w:rsid w:val="00262E10"/>
    <w:rsid w:val="00264A4A"/>
    <w:rsid w:val="00282FB5"/>
    <w:rsid w:val="002F1A63"/>
    <w:rsid w:val="0031439C"/>
    <w:rsid w:val="0031489F"/>
    <w:rsid w:val="00355902"/>
    <w:rsid w:val="00367BD3"/>
    <w:rsid w:val="00373CE7"/>
    <w:rsid w:val="00377E21"/>
    <w:rsid w:val="003A08EA"/>
    <w:rsid w:val="003C3D07"/>
    <w:rsid w:val="003C4D2F"/>
    <w:rsid w:val="003E09E4"/>
    <w:rsid w:val="003E287C"/>
    <w:rsid w:val="004255FA"/>
    <w:rsid w:val="004472FB"/>
    <w:rsid w:val="00455A75"/>
    <w:rsid w:val="00462C27"/>
    <w:rsid w:val="00464C26"/>
    <w:rsid w:val="00493919"/>
    <w:rsid w:val="004A1E1E"/>
    <w:rsid w:val="00525B38"/>
    <w:rsid w:val="00534782"/>
    <w:rsid w:val="005411A5"/>
    <w:rsid w:val="005642AC"/>
    <w:rsid w:val="00591990"/>
    <w:rsid w:val="005B0E3E"/>
    <w:rsid w:val="005C6DED"/>
    <w:rsid w:val="005D5505"/>
    <w:rsid w:val="005E0D01"/>
    <w:rsid w:val="005E3026"/>
    <w:rsid w:val="005F2288"/>
    <w:rsid w:val="005F6004"/>
    <w:rsid w:val="005F66A1"/>
    <w:rsid w:val="00604D54"/>
    <w:rsid w:val="0062439E"/>
    <w:rsid w:val="006328E5"/>
    <w:rsid w:val="00641AC9"/>
    <w:rsid w:val="0065342A"/>
    <w:rsid w:val="0065530D"/>
    <w:rsid w:val="006561C6"/>
    <w:rsid w:val="00656B8D"/>
    <w:rsid w:val="00663BA9"/>
    <w:rsid w:val="00674B80"/>
    <w:rsid w:val="00674E0F"/>
    <w:rsid w:val="006A63C3"/>
    <w:rsid w:val="006C6284"/>
    <w:rsid w:val="006E177D"/>
    <w:rsid w:val="006F11D0"/>
    <w:rsid w:val="007162F6"/>
    <w:rsid w:val="00723FFA"/>
    <w:rsid w:val="00743E31"/>
    <w:rsid w:val="00752A2D"/>
    <w:rsid w:val="00755C80"/>
    <w:rsid w:val="007A3723"/>
    <w:rsid w:val="007C4F16"/>
    <w:rsid w:val="007F636B"/>
    <w:rsid w:val="007F7E9D"/>
    <w:rsid w:val="0081105B"/>
    <w:rsid w:val="008226F5"/>
    <w:rsid w:val="0086367B"/>
    <w:rsid w:val="00877886"/>
    <w:rsid w:val="0088105F"/>
    <w:rsid w:val="008A57BE"/>
    <w:rsid w:val="008B3422"/>
    <w:rsid w:val="008C2AED"/>
    <w:rsid w:val="008C5162"/>
    <w:rsid w:val="008D47D0"/>
    <w:rsid w:val="008E1B64"/>
    <w:rsid w:val="008F3D8F"/>
    <w:rsid w:val="0091243F"/>
    <w:rsid w:val="00917C7B"/>
    <w:rsid w:val="0092150F"/>
    <w:rsid w:val="009233B4"/>
    <w:rsid w:val="00933E29"/>
    <w:rsid w:val="00944395"/>
    <w:rsid w:val="00952031"/>
    <w:rsid w:val="00954518"/>
    <w:rsid w:val="00964B01"/>
    <w:rsid w:val="00992570"/>
    <w:rsid w:val="009A0383"/>
    <w:rsid w:val="009B0C8E"/>
    <w:rsid w:val="009B6844"/>
    <w:rsid w:val="009C01E3"/>
    <w:rsid w:val="009C350D"/>
    <w:rsid w:val="009C6689"/>
    <w:rsid w:val="009C6FA1"/>
    <w:rsid w:val="009E4A2D"/>
    <w:rsid w:val="009F2CFE"/>
    <w:rsid w:val="009F4DE4"/>
    <w:rsid w:val="00A37629"/>
    <w:rsid w:val="00A61D28"/>
    <w:rsid w:val="00A67E14"/>
    <w:rsid w:val="00A8365F"/>
    <w:rsid w:val="00AB30A3"/>
    <w:rsid w:val="00AB6B20"/>
    <w:rsid w:val="00AE5710"/>
    <w:rsid w:val="00B03D40"/>
    <w:rsid w:val="00B12AAD"/>
    <w:rsid w:val="00B2080A"/>
    <w:rsid w:val="00B20FCD"/>
    <w:rsid w:val="00B362DD"/>
    <w:rsid w:val="00B37338"/>
    <w:rsid w:val="00B4590C"/>
    <w:rsid w:val="00B54078"/>
    <w:rsid w:val="00B850D7"/>
    <w:rsid w:val="00B86A51"/>
    <w:rsid w:val="00B9791A"/>
    <w:rsid w:val="00BE1EA2"/>
    <w:rsid w:val="00BE4FB9"/>
    <w:rsid w:val="00C15C3A"/>
    <w:rsid w:val="00C2724C"/>
    <w:rsid w:val="00C34943"/>
    <w:rsid w:val="00C4276D"/>
    <w:rsid w:val="00C46788"/>
    <w:rsid w:val="00CD75D2"/>
    <w:rsid w:val="00CF1EA1"/>
    <w:rsid w:val="00D013B8"/>
    <w:rsid w:val="00D07F14"/>
    <w:rsid w:val="00D20CA2"/>
    <w:rsid w:val="00D460E2"/>
    <w:rsid w:val="00D558B5"/>
    <w:rsid w:val="00D95C01"/>
    <w:rsid w:val="00D95DA9"/>
    <w:rsid w:val="00DA73F5"/>
    <w:rsid w:val="00DA7A46"/>
    <w:rsid w:val="00DF150A"/>
    <w:rsid w:val="00DF34CF"/>
    <w:rsid w:val="00E03349"/>
    <w:rsid w:val="00E06570"/>
    <w:rsid w:val="00E068D7"/>
    <w:rsid w:val="00E07B55"/>
    <w:rsid w:val="00E92185"/>
    <w:rsid w:val="00EA5FFB"/>
    <w:rsid w:val="00ED726E"/>
    <w:rsid w:val="00EE2897"/>
    <w:rsid w:val="00EE2CE5"/>
    <w:rsid w:val="00EF251D"/>
    <w:rsid w:val="00F0243A"/>
    <w:rsid w:val="00F24760"/>
    <w:rsid w:val="00F33606"/>
    <w:rsid w:val="00F46E17"/>
    <w:rsid w:val="00F6641B"/>
    <w:rsid w:val="00F83364"/>
    <w:rsid w:val="00FA16E2"/>
    <w:rsid w:val="00FB2A64"/>
    <w:rsid w:val="00FC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15E19"/>
  <w15:chartTrackingRefBased/>
  <w15:docId w15:val="{BC8FA2FE-38B8-4F9E-B8F7-15206FA9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A46"/>
    <w:pPr>
      <w:spacing w:after="0" w:line="240" w:lineRule="auto"/>
    </w:pPr>
  </w:style>
  <w:style w:type="paragraph" w:styleId="Header">
    <w:name w:val="header"/>
    <w:basedOn w:val="Normal"/>
    <w:link w:val="HeaderChar"/>
    <w:uiPriority w:val="99"/>
    <w:unhideWhenUsed/>
    <w:rsid w:val="0096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B01"/>
  </w:style>
  <w:style w:type="paragraph" w:styleId="Footer">
    <w:name w:val="footer"/>
    <w:basedOn w:val="Normal"/>
    <w:link w:val="FooterChar"/>
    <w:uiPriority w:val="99"/>
    <w:unhideWhenUsed/>
    <w:rsid w:val="0096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B01"/>
  </w:style>
  <w:style w:type="table" w:styleId="TableGrid">
    <w:name w:val="Table Grid"/>
    <w:basedOn w:val="TableNormal"/>
    <w:uiPriority w:val="39"/>
    <w:rsid w:val="00A3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4759</Words>
  <Characters>27130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Ganbaatar Gombodorj</dc:creator>
  <cp:keywords/>
  <dc:description/>
  <cp:lastModifiedBy>Shinetuya</cp:lastModifiedBy>
  <cp:revision>54</cp:revision>
  <cp:lastPrinted>2025-10-21T10:12:00Z</cp:lastPrinted>
  <dcterms:created xsi:type="dcterms:W3CDTF">2025-10-21T07:45:00Z</dcterms:created>
  <dcterms:modified xsi:type="dcterms:W3CDTF">2025-10-29T08:47:00Z</dcterms:modified>
</cp:coreProperties>
</file>